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42" w:rsidRPr="009E51FC" w:rsidRDefault="00976442"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C773EC" w:rsidP="00471319">
            <w:pPr>
              <w:rPr>
                <w:rStyle w:val="Firstpagetablebold"/>
              </w:rPr>
            </w:pPr>
            <w:r>
              <w:rPr>
                <w:rStyle w:val="Firstpagetablebold"/>
              </w:rPr>
              <w:t>General Purposes Licensing</w:t>
            </w:r>
            <w:r w:rsidR="004D481B">
              <w:rPr>
                <w:rStyle w:val="Firstpagetablebold"/>
              </w:rPr>
              <w:t xml:space="preserve"> </w:t>
            </w:r>
            <w:r w:rsidR="008A43AA">
              <w:rPr>
                <w:rStyle w:val="Firstpagetablebold"/>
              </w:rPr>
              <w:t>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975CFC" w:rsidP="00975CFC">
            <w:pPr>
              <w:rPr>
                <w:b/>
              </w:rPr>
            </w:pPr>
            <w:r>
              <w:rPr>
                <w:rStyle w:val="Firstpagetablebold"/>
              </w:rPr>
              <w:t>23</w:t>
            </w:r>
            <w:r w:rsidR="00C773EC">
              <w:rPr>
                <w:rStyle w:val="Firstpagetablebold"/>
              </w:rPr>
              <w:t xml:space="preserve"> </w:t>
            </w:r>
            <w:r>
              <w:rPr>
                <w:rStyle w:val="Firstpagetablebold"/>
              </w:rPr>
              <w:t>January 20</w:t>
            </w:r>
            <w:r w:rsidR="00895F59">
              <w:rPr>
                <w:rStyle w:val="Firstpagetablebold"/>
              </w:rPr>
              <w:t>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C773EC" w:rsidP="004A6D2F">
            <w:pPr>
              <w:rPr>
                <w:rStyle w:val="Firstpagetablebold"/>
              </w:rPr>
            </w:pPr>
            <w:r w:rsidRPr="000E4E60">
              <w:rPr>
                <w:rFonts w:cs="Arial"/>
                <w:b/>
                <w:bCs/>
              </w:rPr>
              <w:t>Head of Community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176A0A" w:rsidP="00975CFC">
            <w:pPr>
              <w:rPr>
                <w:rStyle w:val="Firstpagetablebold"/>
              </w:rPr>
            </w:pPr>
            <w:r>
              <w:rPr>
                <w:rStyle w:val="Firstpagetablebold"/>
              </w:rPr>
              <w:t xml:space="preserve">Licensed Vehicles Emission Standards </w:t>
            </w:r>
            <w:r w:rsidR="00022862">
              <w:rPr>
                <w:rStyle w:val="Firstpagetablebold"/>
              </w:rPr>
              <w:t xml:space="preserve"> </w:t>
            </w:r>
          </w:p>
        </w:tc>
      </w:tr>
    </w:tbl>
    <w:p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rsidTr="00C44BAE">
        <w:tc>
          <w:tcPr>
            <w:tcW w:w="9356" w:type="dxa"/>
            <w:gridSpan w:val="3"/>
            <w:tcBorders>
              <w:top w:val="single" w:sz="4" w:space="0" w:color="auto"/>
              <w:left w:val="single" w:sz="4" w:space="0" w:color="auto"/>
              <w:bottom w:val="single" w:sz="4" w:space="0" w:color="auto"/>
              <w:right w:val="single" w:sz="4" w:space="0" w:color="auto"/>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C44BAE">
        <w:trPr>
          <w:trHeight w:val="809"/>
        </w:trPr>
        <w:tc>
          <w:tcPr>
            <w:tcW w:w="3261" w:type="dxa"/>
            <w:gridSpan w:val="2"/>
            <w:tcBorders>
              <w:top w:val="single" w:sz="4" w:space="0" w:color="auto"/>
              <w:left w:val="single" w:sz="4" w:space="0" w:color="auto"/>
              <w:bottom w:val="nil"/>
              <w:right w:val="nil"/>
            </w:tcBorders>
            <w:hideMark/>
          </w:tcPr>
          <w:p w:rsidR="00D5547E" w:rsidRDefault="00D5547E">
            <w:pPr>
              <w:rPr>
                <w:rStyle w:val="Firstpagetablebold"/>
              </w:rPr>
            </w:pPr>
            <w:r>
              <w:rPr>
                <w:rStyle w:val="Firstpagetablebold"/>
              </w:rPr>
              <w:t>Purpose of report:</w:t>
            </w:r>
          </w:p>
          <w:p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rsidR="00471319" w:rsidRPr="001356F1" w:rsidRDefault="00A31D4E" w:rsidP="00E71957">
            <w:r>
              <w:t>To recommend</w:t>
            </w:r>
            <w:r w:rsidR="00022862">
              <w:t xml:space="preserve"> </w:t>
            </w:r>
            <w:r w:rsidR="00975CFC">
              <w:t>introduction of emis</w:t>
            </w:r>
            <w:r w:rsidR="00E71957">
              <w:t xml:space="preserve">sion standards </w:t>
            </w:r>
            <w:r w:rsidR="00975CFC">
              <w:t>for Hackney Carriage Vehicles</w:t>
            </w:r>
            <w:r w:rsidR="00DD065E">
              <w:t xml:space="preserve"> and amend the vehicle age limit for Private Hire Vehicles</w:t>
            </w:r>
            <w:r w:rsidR="00D96677">
              <w:t xml:space="preserve"> licensed by this Authority</w:t>
            </w:r>
          </w:p>
        </w:tc>
      </w:tr>
      <w:tr w:rsidR="00471319" w:rsidTr="00C44BAE">
        <w:trPr>
          <w:trHeight w:val="531"/>
        </w:trPr>
        <w:tc>
          <w:tcPr>
            <w:tcW w:w="3261" w:type="dxa"/>
            <w:gridSpan w:val="2"/>
            <w:tcBorders>
              <w:top w:val="nil"/>
              <w:left w:val="single" w:sz="4" w:space="0" w:color="auto"/>
              <w:bottom w:val="nil"/>
              <w:right w:val="nil"/>
            </w:tcBorders>
          </w:tcPr>
          <w:p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rsidR="00D57F03" w:rsidRPr="001356F1" w:rsidRDefault="00884236" w:rsidP="000F4751">
            <w:r w:rsidRPr="00B82235">
              <w:t>Vibrant Sustainable Economy</w:t>
            </w:r>
            <w:r>
              <w:t>, A Clean and Green Oxford</w:t>
            </w:r>
          </w:p>
        </w:tc>
      </w:tr>
      <w:tr w:rsidR="00D57F03" w:rsidTr="00C44BAE">
        <w:trPr>
          <w:trHeight w:val="531"/>
        </w:trPr>
        <w:tc>
          <w:tcPr>
            <w:tcW w:w="3261" w:type="dxa"/>
            <w:gridSpan w:val="2"/>
            <w:tcBorders>
              <w:top w:val="nil"/>
              <w:left w:val="single" w:sz="4" w:space="0" w:color="auto"/>
              <w:bottom w:val="nil"/>
              <w:right w:val="nil"/>
            </w:tcBorders>
          </w:tcPr>
          <w:p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rsidR="00D57F03" w:rsidRDefault="00884236" w:rsidP="00E71957">
            <w:r>
              <w:t>Air Quality Action Plan, Low Emission Strategy, Sustainability Strategy</w:t>
            </w:r>
          </w:p>
        </w:tc>
      </w:tr>
      <w:tr w:rsidR="005F7F7E" w:rsidRPr="00975B07" w:rsidTr="00C44BAE">
        <w:trPr>
          <w:trHeight w:val="413"/>
        </w:trPr>
        <w:tc>
          <w:tcPr>
            <w:tcW w:w="9356" w:type="dxa"/>
            <w:gridSpan w:val="3"/>
            <w:tcBorders>
              <w:bottom w:val="single" w:sz="8" w:space="0" w:color="000000"/>
            </w:tcBorders>
          </w:tcPr>
          <w:p w:rsidR="005F7F7E" w:rsidRPr="00975B07" w:rsidRDefault="008F0DC7" w:rsidP="00C44BAE">
            <w:r>
              <w:rPr>
                <w:rStyle w:val="Firstpagetablebold"/>
              </w:rPr>
              <w:t>Recommendations</w:t>
            </w:r>
            <w:r w:rsidR="005F7F7E">
              <w:rPr>
                <w:rStyle w:val="Firstpagetablebold"/>
              </w:rPr>
              <w:t>:</w:t>
            </w:r>
            <w:r w:rsidR="00C05D9C">
              <w:rPr>
                <w:rStyle w:val="Firstpagetablebold"/>
              </w:rPr>
              <w:t xml:space="preserve"> </w:t>
            </w:r>
            <w:r w:rsidR="005F7F7E" w:rsidRPr="008A43AA">
              <w:rPr>
                <w:rStyle w:val="Firstpagetablebold"/>
                <w:b w:val="0"/>
              </w:rPr>
              <w:t>That the</w:t>
            </w:r>
            <w:r w:rsidR="00A31D4E">
              <w:rPr>
                <w:rStyle w:val="Firstpagetablebold"/>
                <w:b w:val="0"/>
              </w:rPr>
              <w:t xml:space="preserve"> General Purposes Licensing</w:t>
            </w:r>
            <w:r w:rsidR="005F7F7E" w:rsidRPr="008A43AA">
              <w:rPr>
                <w:rStyle w:val="Firstpagetablebold"/>
                <w:b w:val="0"/>
              </w:rPr>
              <w:t xml:space="preserve"> </w:t>
            </w:r>
            <w:r w:rsidR="008A43AA" w:rsidRPr="008A43AA">
              <w:rPr>
                <w:rStyle w:val="Firstpagetablebold"/>
                <w:b w:val="0"/>
              </w:rPr>
              <w:t xml:space="preserve">Committee </w:t>
            </w:r>
            <w:r w:rsidR="005F7F7E" w:rsidRPr="008A43AA">
              <w:rPr>
                <w:rStyle w:val="Firstpagetablebold"/>
                <w:b w:val="0"/>
              </w:rPr>
              <w:t>resolves to:</w:t>
            </w:r>
          </w:p>
        </w:tc>
      </w:tr>
      <w:tr w:rsidR="0030208D" w:rsidRPr="00975B07" w:rsidTr="00C44BAE">
        <w:trPr>
          <w:trHeight w:val="64"/>
        </w:trPr>
        <w:tc>
          <w:tcPr>
            <w:tcW w:w="426" w:type="dxa"/>
            <w:tcBorders>
              <w:top w:val="single" w:sz="8" w:space="0" w:color="000000"/>
              <w:left w:val="single" w:sz="8" w:space="0" w:color="000000"/>
              <w:bottom w:val="nil"/>
              <w:right w:val="nil"/>
            </w:tcBorders>
          </w:tcPr>
          <w:p w:rsidR="0030208D" w:rsidRPr="00975B07" w:rsidRDefault="00046D2B" w:rsidP="004A6D2F">
            <w:bookmarkStart w:id="0" w:name="_GoBack" w:colFirst="1" w:colLast="1"/>
            <w:r w:rsidRPr="00975B07">
              <w:t>1.</w:t>
            </w:r>
          </w:p>
        </w:tc>
        <w:tc>
          <w:tcPr>
            <w:tcW w:w="8930" w:type="dxa"/>
            <w:gridSpan w:val="2"/>
            <w:tcBorders>
              <w:top w:val="single" w:sz="8" w:space="0" w:color="000000"/>
              <w:left w:val="nil"/>
              <w:bottom w:val="nil"/>
              <w:right w:val="single" w:sz="8" w:space="0" w:color="000000"/>
            </w:tcBorders>
            <w:shd w:val="clear" w:color="auto" w:fill="auto"/>
          </w:tcPr>
          <w:p w:rsidR="0030208D" w:rsidRPr="00A31D4E" w:rsidRDefault="00365504" w:rsidP="00E71957">
            <w:pPr>
              <w:rPr>
                <w:b/>
              </w:rPr>
            </w:pPr>
            <w:r w:rsidRPr="008F0DC7">
              <w:rPr>
                <w:rStyle w:val="Firstpagetablebold"/>
              </w:rPr>
              <w:t>Approve</w:t>
            </w:r>
            <w:r>
              <w:rPr>
                <w:rStyle w:val="Firstpagetablebold"/>
                <w:b w:val="0"/>
              </w:rPr>
              <w:t xml:space="preserve"> </w:t>
            </w:r>
            <w:r w:rsidR="00884236">
              <w:rPr>
                <w:rStyle w:val="Firstpagetablebold"/>
                <w:b w:val="0"/>
              </w:rPr>
              <w:t>the</w:t>
            </w:r>
            <w:r w:rsidR="00884236" w:rsidRPr="00A31D4E">
              <w:rPr>
                <w:rStyle w:val="Firstpagetablebold"/>
                <w:b w:val="0"/>
              </w:rPr>
              <w:t xml:space="preserve"> </w:t>
            </w:r>
            <w:r w:rsidR="00884236">
              <w:rPr>
                <w:rStyle w:val="Firstpagetablebold"/>
                <w:b w:val="0"/>
              </w:rPr>
              <w:t>recommended option for  introduction of new emission standards for Hackney Carriage Vehicles licensed by this Authority;</w:t>
            </w:r>
          </w:p>
        </w:tc>
      </w:tr>
      <w:tr w:rsidR="00232F5B" w:rsidRPr="00975B07" w:rsidTr="003A3D3C">
        <w:trPr>
          <w:trHeight w:val="283"/>
        </w:trPr>
        <w:tc>
          <w:tcPr>
            <w:tcW w:w="426" w:type="dxa"/>
            <w:tcBorders>
              <w:top w:val="nil"/>
              <w:left w:val="single" w:sz="8" w:space="0" w:color="000000"/>
              <w:bottom w:val="nil"/>
              <w:right w:val="nil"/>
            </w:tcBorders>
          </w:tcPr>
          <w:p w:rsidR="0030208D" w:rsidRPr="00A31D4E" w:rsidRDefault="009C0636" w:rsidP="004A6D2F">
            <w:r>
              <w:t>2</w:t>
            </w:r>
            <w:r w:rsidR="00046D2B" w:rsidRPr="00A31D4E">
              <w:t>.</w:t>
            </w:r>
          </w:p>
        </w:tc>
        <w:tc>
          <w:tcPr>
            <w:tcW w:w="8930" w:type="dxa"/>
            <w:gridSpan w:val="2"/>
            <w:tcBorders>
              <w:top w:val="nil"/>
              <w:left w:val="nil"/>
              <w:bottom w:val="nil"/>
              <w:right w:val="single" w:sz="8" w:space="0" w:color="000000"/>
            </w:tcBorders>
            <w:shd w:val="clear" w:color="auto" w:fill="auto"/>
          </w:tcPr>
          <w:p w:rsidR="0030208D" w:rsidRPr="003A3D3C" w:rsidRDefault="003A3D3C" w:rsidP="000C11F7">
            <w:r>
              <w:rPr>
                <w:b/>
              </w:rPr>
              <w:t xml:space="preserve">Approve </w:t>
            </w:r>
            <w:r w:rsidR="00884236" w:rsidRPr="009F405B">
              <w:t>the</w:t>
            </w:r>
            <w:r w:rsidR="00884236">
              <w:rPr>
                <w:b/>
              </w:rPr>
              <w:t xml:space="preserve"> </w:t>
            </w:r>
            <w:r w:rsidR="00884236">
              <w:t>recommended amendment to vehicle age criteria for licensing of new Low and Ultra Low Emission Private Hire Vehicles;</w:t>
            </w:r>
            <w:r w:rsidR="00783BA3">
              <w:t xml:space="preserve"> and</w:t>
            </w:r>
          </w:p>
        </w:tc>
      </w:tr>
      <w:tr w:rsidR="003A3D3C" w:rsidRPr="00975B07" w:rsidTr="00C44BAE">
        <w:trPr>
          <w:trHeight w:val="283"/>
        </w:trPr>
        <w:tc>
          <w:tcPr>
            <w:tcW w:w="426" w:type="dxa"/>
            <w:tcBorders>
              <w:top w:val="nil"/>
              <w:left w:val="single" w:sz="8" w:space="0" w:color="000000"/>
              <w:bottom w:val="single" w:sz="8" w:space="0" w:color="000000"/>
              <w:right w:val="nil"/>
            </w:tcBorders>
          </w:tcPr>
          <w:p w:rsidR="003A3D3C" w:rsidRDefault="003A3D3C" w:rsidP="004A6D2F">
            <w:r>
              <w:t>3.</w:t>
            </w:r>
          </w:p>
        </w:tc>
        <w:tc>
          <w:tcPr>
            <w:tcW w:w="8930" w:type="dxa"/>
            <w:gridSpan w:val="2"/>
            <w:tcBorders>
              <w:top w:val="nil"/>
              <w:left w:val="nil"/>
              <w:bottom w:val="single" w:sz="8" w:space="0" w:color="000000"/>
              <w:right w:val="single" w:sz="8" w:space="0" w:color="000000"/>
            </w:tcBorders>
            <w:shd w:val="clear" w:color="auto" w:fill="auto"/>
          </w:tcPr>
          <w:p w:rsidR="003A3D3C" w:rsidRPr="008F0DC7" w:rsidRDefault="003A3D3C" w:rsidP="00247C29">
            <w:pPr>
              <w:rPr>
                <w:b/>
              </w:rPr>
            </w:pPr>
            <w:r w:rsidRPr="008F0DC7">
              <w:rPr>
                <w:b/>
              </w:rPr>
              <w:t>Agree</w:t>
            </w:r>
            <w:r>
              <w:t xml:space="preserve"> </w:t>
            </w:r>
            <w:r w:rsidR="00884236">
              <w:t>that such proposals</w:t>
            </w:r>
            <w:r w:rsidR="00884236" w:rsidRPr="00A31D4E">
              <w:t xml:space="preserve"> be </w:t>
            </w:r>
            <w:r w:rsidR="00884236">
              <w:t>recommended</w:t>
            </w:r>
            <w:r w:rsidR="00884236" w:rsidRPr="00A31D4E">
              <w:t xml:space="preserve"> to Council for adoption.</w:t>
            </w:r>
          </w:p>
        </w:tc>
      </w:tr>
      <w:bookmarkEnd w:id="0"/>
    </w:tbl>
    <w:p w:rsidR="00CE544A" w:rsidRPr="009E51FC" w:rsidRDefault="00CE544A" w:rsidP="004A6D2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rsidTr="00C44BA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19017E">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918" w:type="dxa"/>
            <w:tcBorders>
              <w:top w:val="single" w:sz="8" w:space="0" w:color="000000"/>
              <w:left w:val="nil"/>
              <w:bottom w:val="nil"/>
              <w:right w:val="single" w:sz="8" w:space="0" w:color="000000"/>
            </w:tcBorders>
          </w:tcPr>
          <w:p w:rsidR="00ED5860" w:rsidRPr="001356F1" w:rsidRDefault="00283C12" w:rsidP="00283C12">
            <w:r>
              <w:t xml:space="preserve">Supporting Measures </w:t>
            </w:r>
          </w:p>
        </w:tc>
      </w:tr>
      <w:tr w:rsidR="00ED5860" w:rsidRPr="00975B07" w:rsidTr="0019017E">
        <w:tc>
          <w:tcPr>
            <w:tcW w:w="2438" w:type="dxa"/>
            <w:tcBorders>
              <w:top w:val="nil"/>
              <w:left w:val="single" w:sz="8" w:space="0" w:color="000000"/>
              <w:bottom w:val="single" w:sz="8" w:space="0" w:color="000000"/>
              <w:right w:val="nil"/>
            </w:tcBorders>
            <w:shd w:val="clear" w:color="auto" w:fill="auto"/>
          </w:tcPr>
          <w:p w:rsidR="00ED5860" w:rsidRPr="00975B07" w:rsidRDefault="0030208D" w:rsidP="004A6D2F">
            <w:r w:rsidRPr="00975B07">
              <w:t>Appendix 2</w:t>
            </w:r>
          </w:p>
        </w:tc>
        <w:tc>
          <w:tcPr>
            <w:tcW w:w="6918" w:type="dxa"/>
            <w:tcBorders>
              <w:top w:val="nil"/>
              <w:left w:val="nil"/>
              <w:bottom w:val="single" w:sz="8" w:space="0" w:color="000000"/>
              <w:right w:val="single" w:sz="8" w:space="0" w:color="000000"/>
            </w:tcBorders>
          </w:tcPr>
          <w:p w:rsidR="00ED5860" w:rsidRPr="001356F1" w:rsidRDefault="00895F59" w:rsidP="00DB2956">
            <w:r>
              <w:t>Full</w:t>
            </w:r>
            <w:r w:rsidR="00283C12">
              <w:t xml:space="preserve"> Analysis</w:t>
            </w:r>
            <w:r w:rsidR="009C0636">
              <w:t xml:space="preserve"> </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D96677" w:rsidRDefault="00D96677" w:rsidP="009B3526">
      <w:pPr>
        <w:pStyle w:val="bParagraphtext"/>
        <w:spacing w:after="0"/>
        <w:ind w:left="426" w:hanging="426"/>
        <w:rPr>
          <w:rStyle w:val="ListParagraphChar"/>
        </w:rPr>
      </w:pPr>
      <w:r>
        <w:t xml:space="preserve">Oxford </w:t>
      </w:r>
      <w:r w:rsidRPr="00CA27AE">
        <w:t>City</w:t>
      </w:r>
      <w:r w:rsidR="00BB6465">
        <w:t xml:space="preserve"> centre currently has </w:t>
      </w:r>
      <w:r w:rsidRPr="00CA27AE">
        <w:t>high levels of toxic nit</w:t>
      </w:r>
      <w:r w:rsidR="00783BA3">
        <w:t>rogen dioxide, which contribute</w:t>
      </w:r>
      <w:r w:rsidRPr="00CA27AE">
        <w:t xml:space="preserve"> to diseases including cancer, asthma, stroke and heart disease; and, to around 40,000 deaths in the UK every year.</w:t>
      </w:r>
      <w:r w:rsidR="00FC6A3A">
        <w:t xml:space="preserve"> </w:t>
      </w:r>
      <w:r w:rsidR="00FC6A3A">
        <w:rPr>
          <w:rStyle w:val="ListParagraphChar"/>
        </w:rPr>
        <w:t>Emissions from licensed vehicles contribute to these high levels.</w:t>
      </w:r>
    </w:p>
    <w:p w:rsidR="009B3526" w:rsidRPr="00CA27AE" w:rsidRDefault="009B3526" w:rsidP="009B3526">
      <w:pPr>
        <w:pStyle w:val="bParagraphtext"/>
        <w:numPr>
          <w:ilvl w:val="0"/>
          <w:numId w:val="0"/>
        </w:numPr>
        <w:tabs>
          <w:tab w:val="clear" w:pos="426"/>
          <w:tab w:val="left" w:pos="567"/>
        </w:tabs>
        <w:spacing w:after="0"/>
        <w:ind w:left="426"/>
      </w:pPr>
    </w:p>
    <w:p w:rsidR="00E87F7A" w:rsidRDefault="00D96677" w:rsidP="009B3526">
      <w:pPr>
        <w:pStyle w:val="bParagraphtext"/>
        <w:spacing w:after="0"/>
        <w:ind w:left="360"/>
      </w:pPr>
      <w:r w:rsidRPr="00CA27AE">
        <w:t xml:space="preserve">Oxford </w:t>
      </w:r>
      <w:r>
        <w:t xml:space="preserve">has </w:t>
      </w:r>
      <w:r w:rsidR="00F27ECB">
        <w:t>the potential for a</w:t>
      </w:r>
      <w:r>
        <w:t xml:space="preserve"> great offer to its visitors, residents and businesses: a </w:t>
      </w:r>
      <w:r w:rsidRPr="009C4975">
        <w:t>world class, clean, modern fleet of Hackney Carriag</w:t>
      </w:r>
      <w:r w:rsidR="00F27ECB" w:rsidRPr="009C4975">
        <w:t>e</w:t>
      </w:r>
      <w:r w:rsidRPr="009C4975">
        <w:t xml:space="preserve"> and Private Hire Vehicles.</w:t>
      </w:r>
    </w:p>
    <w:p w:rsidR="009B3526" w:rsidRPr="009C4975" w:rsidRDefault="009B3526" w:rsidP="009B3526">
      <w:pPr>
        <w:pStyle w:val="ListParagraph"/>
        <w:numPr>
          <w:ilvl w:val="0"/>
          <w:numId w:val="0"/>
        </w:numPr>
        <w:spacing w:after="0"/>
        <w:ind w:left="786"/>
      </w:pPr>
    </w:p>
    <w:p w:rsidR="001D6504" w:rsidRPr="009C4975" w:rsidRDefault="00D96677" w:rsidP="009B3526">
      <w:pPr>
        <w:pStyle w:val="bParagraphtext"/>
        <w:spacing w:after="0"/>
        <w:ind w:left="360"/>
      </w:pPr>
      <w:r w:rsidRPr="00CA27AE">
        <w:t xml:space="preserve">Currently Oxford licensed </w:t>
      </w:r>
      <w:r w:rsidRPr="009C4975">
        <w:t>Hackney Carriage fleet has an old age</w:t>
      </w:r>
      <w:r w:rsidR="00F27ECB" w:rsidRPr="009C4975">
        <w:t>,</w:t>
      </w:r>
      <w:r w:rsidRPr="009C4975">
        <w:t xml:space="preserve"> polluting profile - </w:t>
      </w:r>
      <w:r w:rsidR="001D6504" w:rsidRPr="009C4975">
        <w:t>the fleet c</w:t>
      </w:r>
      <w:r w:rsidR="009C4975">
        <w:t>onsists 100% of diesel vehicles:</w:t>
      </w:r>
      <w:r w:rsidR="001D6504" w:rsidRPr="009C4975">
        <w:t xml:space="preserve"> 51% are older than 15 years, with the six oldest vehicles being 19 years old. Over half of the fleet are Euro standard 3 and lower. </w:t>
      </w:r>
    </w:p>
    <w:p w:rsidR="001D6504" w:rsidRDefault="001D6504" w:rsidP="009B3526">
      <w:pPr>
        <w:pStyle w:val="bParagraphtext"/>
        <w:spacing w:after="0"/>
        <w:ind w:left="360"/>
      </w:pPr>
      <w:r w:rsidRPr="009C4975">
        <w:lastRenderedPageBreak/>
        <w:t>81% of the fleet would not meet the current Oxford Low Emission Zone standards (Euro 5</w:t>
      </w:r>
      <w:r w:rsidR="00802852">
        <w:t xml:space="preserve"> for buses</w:t>
      </w:r>
      <w:r w:rsidRPr="009C4975">
        <w:t>), if it were extended to include taxis.</w:t>
      </w:r>
    </w:p>
    <w:p w:rsidR="009B3526" w:rsidRPr="009C4975" w:rsidRDefault="009B3526" w:rsidP="009B3526">
      <w:pPr>
        <w:pStyle w:val="bParagraphtext"/>
        <w:numPr>
          <w:ilvl w:val="0"/>
          <w:numId w:val="0"/>
        </w:numPr>
        <w:spacing w:after="0"/>
        <w:ind w:left="360"/>
      </w:pPr>
    </w:p>
    <w:p w:rsidR="001D6504" w:rsidRDefault="001D6504" w:rsidP="009B3526">
      <w:pPr>
        <w:pStyle w:val="bParagraphtext"/>
        <w:spacing w:after="0"/>
        <w:ind w:left="360"/>
      </w:pPr>
      <w:r>
        <w:t>Trip patterns indicate that taxi emissions are largely generated within the central areas of Oxford.</w:t>
      </w:r>
    </w:p>
    <w:p w:rsidR="009B3526" w:rsidRDefault="009B3526" w:rsidP="009B3526">
      <w:pPr>
        <w:pStyle w:val="ListParagraph"/>
        <w:numPr>
          <w:ilvl w:val="0"/>
          <w:numId w:val="0"/>
        </w:numPr>
        <w:spacing w:after="0"/>
        <w:ind w:left="786"/>
      </w:pPr>
    </w:p>
    <w:p w:rsidR="00E025A3" w:rsidRDefault="00D96677" w:rsidP="009B3526">
      <w:pPr>
        <w:pStyle w:val="bParagraphtext"/>
        <w:spacing w:after="0"/>
        <w:ind w:left="360"/>
      </w:pPr>
      <w:r>
        <w:t>N</w:t>
      </w:r>
      <w:r w:rsidRPr="00DF4993">
        <w:t>one of the existing licensed vehicles are zero-emissio</w:t>
      </w:r>
      <w:r>
        <w:t xml:space="preserve">ns capable and </w:t>
      </w:r>
      <w:r w:rsidR="009F3458">
        <w:t xml:space="preserve">none </w:t>
      </w:r>
      <w:r>
        <w:t>meet the</w:t>
      </w:r>
      <w:r w:rsidRPr="00DF4993">
        <w:t xml:space="preserve"> </w:t>
      </w:r>
      <w:r>
        <w:t xml:space="preserve">proposed </w:t>
      </w:r>
      <w:r w:rsidRPr="00DF4993">
        <w:t>Z</w:t>
      </w:r>
      <w:r>
        <w:t xml:space="preserve">ero </w:t>
      </w:r>
      <w:r w:rsidRPr="00DF4993">
        <w:t>E</w:t>
      </w:r>
      <w:r>
        <w:t xml:space="preserve">mission </w:t>
      </w:r>
      <w:r w:rsidRPr="00DF4993">
        <w:t>Z</w:t>
      </w:r>
      <w:r>
        <w:t>one (ZEZ)</w:t>
      </w:r>
      <w:r w:rsidRPr="00DF4993">
        <w:t xml:space="preserve"> standard</w:t>
      </w:r>
      <w:r>
        <w:t>s</w:t>
      </w:r>
      <w:r w:rsidRPr="00DF4993">
        <w:t xml:space="preserve">. </w:t>
      </w:r>
      <w:r w:rsidR="00FC6A3A">
        <w:t>Reducing emissions in</w:t>
      </w:r>
      <w:r w:rsidR="00FC6A3A" w:rsidRPr="00DF4993">
        <w:t xml:space="preserve"> </w:t>
      </w:r>
      <w:r w:rsidR="00FC6A3A">
        <w:t>t</w:t>
      </w:r>
      <w:r w:rsidR="00FC6A3A" w:rsidRPr="00DF4993">
        <w:t>he</w:t>
      </w:r>
      <w:r w:rsidR="00FC6A3A">
        <w:t xml:space="preserve"> taxi</w:t>
      </w:r>
      <w:r w:rsidR="00FC6A3A" w:rsidRPr="00DF4993">
        <w:t xml:space="preserve"> fleet presents an opportunity not only to improve air quality, but to showcase electric vehicles to our resid</w:t>
      </w:r>
      <w:r w:rsidR="00FC6A3A">
        <w:t>ents, businesses and visitors.</w:t>
      </w:r>
    </w:p>
    <w:p w:rsidR="009B3526" w:rsidRDefault="009B3526" w:rsidP="009B3526">
      <w:pPr>
        <w:pStyle w:val="ListParagraph"/>
        <w:numPr>
          <w:ilvl w:val="0"/>
          <w:numId w:val="0"/>
        </w:numPr>
        <w:spacing w:after="0"/>
        <w:ind w:left="786"/>
      </w:pPr>
    </w:p>
    <w:p w:rsidR="00E674FD" w:rsidRPr="002F72BC" w:rsidRDefault="00E674FD" w:rsidP="009B3526">
      <w:pPr>
        <w:pStyle w:val="bParagraphtext"/>
        <w:spacing w:after="0"/>
        <w:ind w:left="360"/>
      </w:pPr>
      <w:r w:rsidRPr="002F72BC">
        <w:t>Oxford is not alone in taking these steps. For example: Coventry already require all newly licensed vehicles to be EURO 6 and will have a fully ULEV fleet by 2024</w:t>
      </w:r>
      <w:r w:rsidR="00FC6A3A" w:rsidRPr="002F72BC">
        <w:t>; London</w:t>
      </w:r>
      <w:r w:rsidRPr="002F72BC">
        <w:t xml:space="preserve"> have required all new applicants to be ULEV since January 2018; and, Dundee already has 94 pure electric (private hire) taxis operating in the city.</w:t>
      </w:r>
    </w:p>
    <w:p w:rsidR="009B3526" w:rsidRPr="009B3526" w:rsidRDefault="009B3526" w:rsidP="009B3526">
      <w:pPr>
        <w:tabs>
          <w:tab w:val="left" w:pos="4017"/>
        </w:tabs>
        <w:spacing w:after="0"/>
        <w:ind w:left="786" w:hanging="360"/>
      </w:pPr>
      <w:r w:rsidRPr="009B3526">
        <w:tab/>
      </w:r>
      <w:r w:rsidRPr="009B3526">
        <w:tab/>
      </w:r>
    </w:p>
    <w:p w:rsidR="00F27ECB" w:rsidRPr="00CA27AE" w:rsidRDefault="00F27ECB" w:rsidP="009B3526">
      <w:pPr>
        <w:pStyle w:val="bParagraphtext"/>
        <w:spacing w:after="0"/>
        <w:ind w:left="360"/>
      </w:pPr>
      <w:r>
        <w:t xml:space="preserve">The </w:t>
      </w:r>
      <w:r w:rsidR="00E261F7" w:rsidRPr="00D90775">
        <w:rPr>
          <w:rStyle w:val="ListParagraphChar"/>
        </w:rPr>
        <w:t xml:space="preserve">overarching goals </w:t>
      </w:r>
      <w:r w:rsidR="00E261F7">
        <w:rPr>
          <w:rStyle w:val="ListParagraphChar"/>
        </w:rPr>
        <w:t>of the proposals in this report are</w:t>
      </w:r>
      <w:r w:rsidRPr="00CA27AE">
        <w:t>:</w:t>
      </w:r>
    </w:p>
    <w:p w:rsidR="00E261F7" w:rsidRDefault="00E261F7" w:rsidP="006351D7">
      <w:pPr>
        <w:pStyle w:val="ListParagraph"/>
        <w:numPr>
          <w:ilvl w:val="0"/>
          <w:numId w:val="6"/>
        </w:numPr>
        <w:rPr>
          <w:rStyle w:val="ListParagraphChar"/>
        </w:rPr>
      </w:pPr>
      <w:r>
        <w:t xml:space="preserve">That the </w:t>
      </w:r>
      <w:r>
        <w:rPr>
          <w:rStyle w:val="ListParagraphChar"/>
        </w:rPr>
        <w:t>economic impact on the H</w:t>
      </w:r>
      <w:r w:rsidRPr="00D90775">
        <w:rPr>
          <w:rStyle w:val="ListParagraphChar"/>
        </w:rPr>
        <w:t>ackney</w:t>
      </w:r>
      <w:r>
        <w:rPr>
          <w:rStyle w:val="ListParagraphChar"/>
        </w:rPr>
        <w:t xml:space="preserve"> Carriage</w:t>
      </w:r>
      <w:r w:rsidRPr="00D90775">
        <w:rPr>
          <w:rStyle w:val="ListParagraphChar"/>
        </w:rPr>
        <w:t xml:space="preserve"> trade respects their livelihood</w:t>
      </w:r>
      <w:r>
        <w:rPr>
          <w:rStyle w:val="ListParagraphChar"/>
        </w:rPr>
        <w:t xml:space="preserve"> and builds resilience to global trends in mobility.</w:t>
      </w:r>
    </w:p>
    <w:p w:rsidR="00F27ECB" w:rsidRDefault="00F27ECB" w:rsidP="006351D7">
      <w:pPr>
        <w:pStyle w:val="ListParagraph"/>
        <w:numPr>
          <w:ilvl w:val="0"/>
          <w:numId w:val="6"/>
        </w:numPr>
        <w:rPr>
          <w:rStyle w:val="ListParagraphChar"/>
        </w:rPr>
      </w:pPr>
      <w:r>
        <w:t xml:space="preserve">Achieving </w:t>
      </w:r>
      <w:r w:rsidRPr="00D90775">
        <w:rPr>
          <w:rStyle w:val="ListParagraphChar"/>
        </w:rPr>
        <w:t xml:space="preserve">the </w:t>
      </w:r>
      <w:r w:rsidR="00E025A3">
        <w:rPr>
          <w:rStyle w:val="ListParagraphChar"/>
        </w:rPr>
        <w:t xml:space="preserve">urgent </w:t>
      </w:r>
      <w:r w:rsidRPr="00D90775">
        <w:rPr>
          <w:rStyle w:val="ListParagraphChar"/>
        </w:rPr>
        <w:t xml:space="preserve">air quality improvement needed to meet Council targets </w:t>
      </w:r>
      <w:r w:rsidR="00E025A3">
        <w:rPr>
          <w:rStyle w:val="ListParagraphChar"/>
        </w:rPr>
        <w:t>for clean, safe air</w:t>
      </w:r>
      <w:r w:rsidR="009F3458">
        <w:rPr>
          <w:rStyle w:val="ListParagraphChar"/>
        </w:rPr>
        <w:t>.</w:t>
      </w:r>
    </w:p>
    <w:p w:rsidR="00F27ECB" w:rsidRDefault="00E261F7" w:rsidP="009B3526">
      <w:pPr>
        <w:pStyle w:val="ListParagraph"/>
        <w:numPr>
          <w:ilvl w:val="0"/>
          <w:numId w:val="6"/>
        </w:numPr>
        <w:spacing w:after="0"/>
        <w:rPr>
          <w:rStyle w:val="ListParagraphChar"/>
        </w:rPr>
      </w:pPr>
      <w:r>
        <w:t xml:space="preserve">That </w:t>
      </w:r>
      <w:r w:rsidR="00F27ECB">
        <w:t xml:space="preserve">Oxford </w:t>
      </w:r>
      <w:r>
        <w:rPr>
          <w:rStyle w:val="ListParagraphChar"/>
        </w:rPr>
        <w:t xml:space="preserve">City Council </w:t>
      </w:r>
      <w:proofErr w:type="gramStart"/>
      <w:r>
        <w:rPr>
          <w:rStyle w:val="ListParagraphChar"/>
        </w:rPr>
        <w:t>be</w:t>
      </w:r>
      <w:proofErr w:type="gramEnd"/>
      <w:r w:rsidR="00F27ECB" w:rsidRPr="00D90775">
        <w:rPr>
          <w:rStyle w:val="ListParagraphChar"/>
        </w:rPr>
        <w:t xml:space="preserve"> a leader in sustainability, helping to attract investment and funding</w:t>
      </w:r>
      <w:r w:rsidR="009F3458">
        <w:rPr>
          <w:rStyle w:val="ListParagraphChar"/>
        </w:rPr>
        <w:t>.</w:t>
      </w:r>
    </w:p>
    <w:p w:rsidR="009B3526" w:rsidRDefault="009B3526" w:rsidP="009B3526">
      <w:pPr>
        <w:pStyle w:val="ListParagraph"/>
        <w:numPr>
          <w:ilvl w:val="0"/>
          <w:numId w:val="0"/>
        </w:numPr>
        <w:spacing w:after="0"/>
        <w:ind w:left="1146"/>
        <w:rPr>
          <w:rStyle w:val="ListParagraphChar"/>
        </w:rPr>
      </w:pPr>
    </w:p>
    <w:p w:rsidR="00633578" w:rsidRDefault="00EE6B2E" w:rsidP="009B3526">
      <w:pPr>
        <w:pStyle w:val="Heading1"/>
        <w:spacing w:before="0" w:after="0"/>
      </w:pPr>
      <w:r>
        <w:rPr>
          <w:rFonts w:cs="Arial"/>
        </w:rPr>
        <w:t xml:space="preserve">Go </w:t>
      </w:r>
      <w:r>
        <w:t>Ultra Low Oxford: Taxi scheme</w:t>
      </w:r>
    </w:p>
    <w:p w:rsidR="009B3526" w:rsidRPr="009B3526" w:rsidRDefault="009B3526" w:rsidP="009B3526">
      <w:pPr>
        <w:spacing w:after="0"/>
      </w:pPr>
    </w:p>
    <w:p w:rsidR="009B3526" w:rsidRDefault="00EE6B2E" w:rsidP="009B3526">
      <w:pPr>
        <w:pStyle w:val="bParagraphtext"/>
        <w:spacing w:after="0"/>
        <w:ind w:left="360"/>
      </w:pPr>
      <w:r>
        <w:t>The Hackney C</w:t>
      </w:r>
      <w:r w:rsidRPr="00057915">
        <w:t>arriage trade provides an important service</w:t>
      </w:r>
      <w:r>
        <w:t>, within our wider transport system,</w:t>
      </w:r>
      <w:r w:rsidRPr="00057915">
        <w:t xml:space="preserve"> to </w:t>
      </w:r>
      <w:r>
        <w:t xml:space="preserve">meet the diverse needs of </w:t>
      </w:r>
      <w:r w:rsidRPr="00057915">
        <w:t>the residents, businesses and visitors to Oxford</w:t>
      </w:r>
      <w:r>
        <w:t>.</w:t>
      </w:r>
    </w:p>
    <w:p w:rsidR="009B3526" w:rsidRPr="00057915" w:rsidRDefault="009B3526" w:rsidP="009B3526">
      <w:pPr>
        <w:pStyle w:val="bParagraphtext"/>
        <w:numPr>
          <w:ilvl w:val="0"/>
          <w:numId w:val="0"/>
        </w:numPr>
        <w:spacing w:after="0"/>
        <w:ind w:left="360"/>
      </w:pPr>
    </w:p>
    <w:p w:rsidR="00EE6B2E" w:rsidRDefault="00EE6B2E" w:rsidP="009B3526">
      <w:pPr>
        <w:pStyle w:val="bParagraphtext"/>
        <w:spacing w:after="0"/>
        <w:ind w:left="360" w:hanging="502"/>
      </w:pPr>
      <w:r>
        <w:t xml:space="preserve">The global trend in mobility is towards rapid adoption of electric vehicles, especially in cities where new forms of mobility are concentrated and infrastructure investment is needed. </w:t>
      </w:r>
      <w:r w:rsidRPr="00057915">
        <w:t>Oxford City Council has been working</w:t>
      </w:r>
      <w:r>
        <w:t xml:space="preserve"> to support the trade to build capacity and resilience to t</w:t>
      </w:r>
      <w:r w:rsidR="009C4975">
        <w:t xml:space="preserve">he forthcoming changes to our </w:t>
      </w:r>
      <w:r>
        <w:t xml:space="preserve">mobility to ensure the valuable services it provides are preserved for the future. </w:t>
      </w:r>
    </w:p>
    <w:p w:rsidR="009B3526" w:rsidRDefault="009B3526" w:rsidP="009B3526">
      <w:pPr>
        <w:pStyle w:val="ListParagraph"/>
        <w:numPr>
          <w:ilvl w:val="0"/>
          <w:numId w:val="0"/>
        </w:numPr>
        <w:spacing w:after="0"/>
        <w:ind w:left="786"/>
      </w:pPr>
    </w:p>
    <w:p w:rsidR="0067667D" w:rsidRDefault="00EE6B2E" w:rsidP="009B3526">
      <w:pPr>
        <w:pStyle w:val="bParagraphtext"/>
        <w:spacing w:after="0"/>
        <w:ind w:left="360" w:hanging="502"/>
      </w:pPr>
      <w:r>
        <w:t xml:space="preserve">These measures include </w:t>
      </w:r>
      <w:r w:rsidR="009C4975">
        <w:t>raising awareness of the benefits of low emissions vehicles</w:t>
      </w:r>
      <w:r>
        <w:t xml:space="preserve">, bringing the manufacturers to Oxford, capacity building workshops, financial incentives and investigation of the local investment case for ultra-low emissions purpose-built taxis. The summary of those measures can be found in </w:t>
      </w:r>
      <w:r w:rsidRPr="006351D7">
        <w:rPr>
          <w:b/>
        </w:rPr>
        <w:t>Appendix 1</w:t>
      </w:r>
      <w:r w:rsidRPr="00CA27AE">
        <w:t>.</w:t>
      </w:r>
      <w:r>
        <w:t xml:space="preserve"> T</w:t>
      </w:r>
      <w:r w:rsidRPr="00CA27AE">
        <w:t>he Council continues to actively explore other sources of finance and support for the local trade.</w:t>
      </w:r>
    </w:p>
    <w:p w:rsidR="009B3526" w:rsidRDefault="009B3526" w:rsidP="009B3526">
      <w:pPr>
        <w:pStyle w:val="ListParagraph"/>
        <w:numPr>
          <w:ilvl w:val="0"/>
          <w:numId w:val="0"/>
        </w:numPr>
        <w:spacing w:after="0"/>
        <w:ind w:left="786"/>
        <w:rPr>
          <w:rStyle w:val="ListParagraphChar"/>
        </w:rPr>
      </w:pPr>
    </w:p>
    <w:p w:rsidR="00827192" w:rsidRDefault="0067667D" w:rsidP="009B3526">
      <w:pPr>
        <w:pStyle w:val="bParagraphtext"/>
        <w:numPr>
          <w:ilvl w:val="0"/>
          <w:numId w:val="0"/>
        </w:numPr>
        <w:spacing w:after="0"/>
        <w:rPr>
          <w:b/>
        </w:rPr>
      </w:pPr>
      <w:r>
        <w:rPr>
          <w:b/>
        </w:rPr>
        <w:t>Recommended option of emission standards for Hackney Carriage Vehicles</w:t>
      </w:r>
      <w:r w:rsidR="000E323E">
        <w:rPr>
          <w:b/>
        </w:rPr>
        <w:t xml:space="preserve"> (HCV)</w:t>
      </w:r>
      <w:r>
        <w:rPr>
          <w:b/>
        </w:rPr>
        <w:t xml:space="preserve"> licensed by this Authority</w:t>
      </w:r>
    </w:p>
    <w:p w:rsidR="009B3526" w:rsidRDefault="009B3526" w:rsidP="009B3526">
      <w:pPr>
        <w:pStyle w:val="bParagraphtext"/>
        <w:numPr>
          <w:ilvl w:val="0"/>
          <w:numId w:val="0"/>
        </w:numPr>
        <w:spacing w:after="0"/>
        <w:rPr>
          <w:b/>
        </w:rPr>
      </w:pPr>
    </w:p>
    <w:p w:rsidR="006351D7" w:rsidRDefault="009C4975" w:rsidP="009B3526">
      <w:pPr>
        <w:pStyle w:val="bParagraphtext"/>
        <w:ind w:left="360" w:hanging="502"/>
      </w:pPr>
      <w:r>
        <w:t xml:space="preserve">To </w:t>
      </w:r>
      <w:r w:rsidR="00E261F7">
        <w:t xml:space="preserve">help </w:t>
      </w:r>
      <w:r>
        <w:t xml:space="preserve">address the </w:t>
      </w:r>
      <w:r w:rsidR="00BB6465">
        <w:t>high</w:t>
      </w:r>
      <w:r w:rsidR="00802852" w:rsidRPr="00CA27AE">
        <w:t xml:space="preserve"> levels of toxic nitrogen dioxide in some city centre streets</w:t>
      </w:r>
      <w:r>
        <w:t>, o</w:t>
      </w:r>
      <w:r w:rsidR="00EB1A6C" w:rsidRPr="00EB1A6C">
        <w:t>ptions</w:t>
      </w:r>
      <w:r w:rsidR="00EB1A6C">
        <w:t xml:space="preserve"> for </w:t>
      </w:r>
      <w:r>
        <w:t>an</w:t>
      </w:r>
      <w:r w:rsidR="00EB1A6C">
        <w:t xml:space="preserve"> emissions standard were developed in consultation with the City of Oxford Licensed Taxi Association (COLTA) and feedback from drivers and owners that have attended </w:t>
      </w:r>
      <w:r>
        <w:t>the Council’s</w:t>
      </w:r>
      <w:r w:rsidR="00EB1A6C">
        <w:t xml:space="preserve"> capacity building workshops. </w:t>
      </w:r>
    </w:p>
    <w:p w:rsidR="00E261F7" w:rsidRPr="002F72BC" w:rsidRDefault="006351D7" w:rsidP="009B3526">
      <w:pPr>
        <w:pStyle w:val="bParagraphtext"/>
        <w:spacing w:after="0"/>
        <w:ind w:left="360" w:hanging="502"/>
      </w:pPr>
      <w:r w:rsidRPr="002F72BC">
        <w:lastRenderedPageBreak/>
        <w:t>The proposals are based on the latest study of real world emissions by taxis</w:t>
      </w:r>
      <w:r w:rsidRPr="002F72BC">
        <w:rPr>
          <w:rStyle w:val="FootnoteReference"/>
        </w:rPr>
        <w:footnoteReference w:id="1"/>
      </w:r>
      <w:r w:rsidRPr="002F72BC">
        <w:t xml:space="preserve"> which show that EUR</w:t>
      </w:r>
      <w:r w:rsidR="001B7343" w:rsidRPr="002F72BC">
        <w:t xml:space="preserve">O </w:t>
      </w:r>
      <w:r w:rsidRPr="002F72BC">
        <w:t>5</w:t>
      </w:r>
      <w:r w:rsidR="001B7343" w:rsidRPr="002F72BC">
        <w:rPr>
          <w:vertAlign w:val="superscript"/>
        </w:rPr>
        <w:t>2</w:t>
      </w:r>
      <w:r w:rsidRPr="002F72BC">
        <w:t xml:space="preserve"> models perform worse than EURO 4 and EURO 3 models, and </w:t>
      </w:r>
      <w:r w:rsidR="00E261F7" w:rsidRPr="002F72BC">
        <w:t xml:space="preserve">are </w:t>
      </w:r>
      <w:r w:rsidRPr="002F72BC">
        <w:t>comparable to EURO 2 models. The proposals are therefore designed to avoid new EURO 5 vehicles applications, in order to ensure a real world emissions improvement is achieved in the journey towards a fully zero emissions capable fleet.</w:t>
      </w:r>
      <w:r w:rsidR="00E261F7" w:rsidRPr="002F72BC">
        <w:t xml:space="preserve"> </w:t>
      </w:r>
      <w:r w:rsidR="00E261F7" w:rsidRPr="002F72BC">
        <w:rPr>
          <w:b/>
        </w:rPr>
        <w:t>Appendix 2</w:t>
      </w:r>
      <w:r w:rsidR="00E261F7" w:rsidRPr="002F72BC">
        <w:t xml:space="preserve"> describes and assesses the options, accounting for the overarching goals described above.</w:t>
      </w:r>
    </w:p>
    <w:p w:rsidR="00E261F7" w:rsidRPr="00E261F7" w:rsidRDefault="00E261F7" w:rsidP="009B3526">
      <w:pPr>
        <w:pStyle w:val="bParagraphtext"/>
        <w:numPr>
          <w:ilvl w:val="0"/>
          <w:numId w:val="0"/>
        </w:numPr>
        <w:spacing w:after="0"/>
        <w:ind w:left="786" w:hanging="360"/>
      </w:pPr>
    </w:p>
    <w:p w:rsidR="0003611C" w:rsidRDefault="0003611C" w:rsidP="009B3526">
      <w:pPr>
        <w:pStyle w:val="bParagraphtext"/>
        <w:spacing w:after="0"/>
        <w:ind w:left="360" w:hanging="502"/>
      </w:pPr>
      <w:r>
        <w:t xml:space="preserve">The recommended </w:t>
      </w:r>
      <w:r w:rsidR="00575572">
        <w:t>requirement</w:t>
      </w:r>
      <w:r>
        <w:t>:</w:t>
      </w:r>
    </w:p>
    <w:p w:rsidR="009B3526" w:rsidRDefault="009B3526" w:rsidP="009B3526">
      <w:pPr>
        <w:pStyle w:val="ListParagraph"/>
        <w:numPr>
          <w:ilvl w:val="0"/>
          <w:numId w:val="0"/>
        </w:numPr>
        <w:spacing w:after="0"/>
        <w:ind w:left="786"/>
      </w:pPr>
    </w:p>
    <w:p w:rsidR="00E40F95" w:rsidRPr="002F72BC" w:rsidRDefault="000E323E" w:rsidP="009B3526">
      <w:pPr>
        <w:pStyle w:val="bParagraphtext"/>
        <w:numPr>
          <w:ilvl w:val="0"/>
          <w:numId w:val="7"/>
        </w:numPr>
      </w:pPr>
      <w:r w:rsidRPr="002F72BC">
        <w:rPr>
          <w:sz w:val="22"/>
        </w:rPr>
        <w:t>F</w:t>
      </w:r>
      <w:r w:rsidR="0003611C" w:rsidRPr="002F72BC">
        <w:rPr>
          <w:sz w:val="22"/>
        </w:rPr>
        <w:t xml:space="preserve">rom </w:t>
      </w:r>
      <w:r w:rsidR="00575572" w:rsidRPr="002F72BC">
        <w:rPr>
          <w:sz w:val="22"/>
        </w:rPr>
        <w:t>1</w:t>
      </w:r>
      <w:r w:rsidR="00575572" w:rsidRPr="002F72BC">
        <w:rPr>
          <w:sz w:val="22"/>
          <w:vertAlign w:val="superscript"/>
        </w:rPr>
        <w:t>st</w:t>
      </w:r>
      <w:r w:rsidR="00575572" w:rsidRPr="002F72BC">
        <w:rPr>
          <w:sz w:val="22"/>
        </w:rPr>
        <w:t xml:space="preserve"> January</w:t>
      </w:r>
      <w:r w:rsidR="00CA27AE" w:rsidRPr="002F72BC">
        <w:rPr>
          <w:sz w:val="22"/>
        </w:rPr>
        <w:t xml:space="preserve"> 2020 remove the </w:t>
      </w:r>
      <w:r w:rsidR="0090083C" w:rsidRPr="002F72BC">
        <w:rPr>
          <w:sz w:val="22"/>
        </w:rPr>
        <w:t xml:space="preserve">current </w:t>
      </w:r>
      <w:r w:rsidR="00CA27AE" w:rsidRPr="002F72BC">
        <w:rPr>
          <w:sz w:val="22"/>
        </w:rPr>
        <w:t>requirement for new Hackney Carriage Vehicle (HCV) application</w:t>
      </w:r>
      <w:r w:rsidR="0090083C" w:rsidRPr="002F72BC">
        <w:rPr>
          <w:sz w:val="22"/>
        </w:rPr>
        <w:t xml:space="preserve">s </w:t>
      </w:r>
      <w:r w:rsidR="00E40F95" w:rsidRPr="002F72BC">
        <w:rPr>
          <w:sz w:val="22"/>
        </w:rPr>
        <w:t xml:space="preserve">where </w:t>
      </w:r>
      <w:r w:rsidR="00E40F95" w:rsidRPr="002F72BC">
        <w:rPr>
          <w:rFonts w:eastAsia="Arial" w:cs="Arial"/>
          <w:bCs/>
          <w:spacing w:val="-2"/>
          <w:sz w:val="22"/>
          <w:szCs w:val="22"/>
        </w:rPr>
        <w:t>t</w:t>
      </w:r>
      <w:r w:rsidR="00E40F95" w:rsidRPr="002F72BC">
        <w:rPr>
          <w:rFonts w:eastAsia="Arial" w:cs="Arial"/>
          <w:bCs/>
          <w:sz w:val="22"/>
          <w:szCs w:val="22"/>
        </w:rPr>
        <w:t>he</w:t>
      </w:r>
      <w:r w:rsidR="00E40F95" w:rsidRPr="002F72BC">
        <w:rPr>
          <w:rFonts w:eastAsia="Arial" w:cs="Arial"/>
          <w:bCs/>
          <w:spacing w:val="1"/>
          <w:sz w:val="22"/>
          <w:szCs w:val="22"/>
        </w:rPr>
        <w:t xml:space="preserve"> m</w:t>
      </w:r>
      <w:r w:rsidR="00E40F95" w:rsidRPr="002F72BC">
        <w:rPr>
          <w:rFonts w:eastAsia="Arial" w:cs="Arial"/>
          <w:bCs/>
          <w:spacing w:val="-1"/>
          <w:sz w:val="22"/>
          <w:szCs w:val="22"/>
        </w:rPr>
        <w:t>axi</w:t>
      </w:r>
      <w:r w:rsidR="00E40F95" w:rsidRPr="002F72BC">
        <w:rPr>
          <w:rFonts w:eastAsia="Arial" w:cs="Arial"/>
          <w:bCs/>
          <w:spacing w:val="1"/>
          <w:sz w:val="22"/>
          <w:szCs w:val="22"/>
        </w:rPr>
        <w:t>m</w:t>
      </w:r>
      <w:r w:rsidR="00E40F95" w:rsidRPr="002F72BC">
        <w:rPr>
          <w:rFonts w:eastAsia="Arial" w:cs="Arial"/>
          <w:bCs/>
          <w:spacing w:val="-2"/>
          <w:sz w:val="22"/>
          <w:szCs w:val="22"/>
        </w:rPr>
        <w:t>u</w:t>
      </w:r>
      <w:r w:rsidR="00E40F95" w:rsidRPr="002F72BC">
        <w:rPr>
          <w:rFonts w:eastAsia="Arial" w:cs="Arial"/>
          <w:bCs/>
          <w:sz w:val="22"/>
          <w:szCs w:val="22"/>
        </w:rPr>
        <w:t>m</w:t>
      </w:r>
      <w:r w:rsidR="00E40F95" w:rsidRPr="002F72BC">
        <w:rPr>
          <w:rFonts w:eastAsia="Arial" w:cs="Arial"/>
          <w:bCs/>
          <w:spacing w:val="2"/>
          <w:sz w:val="22"/>
          <w:szCs w:val="22"/>
        </w:rPr>
        <w:t xml:space="preserve"> </w:t>
      </w:r>
      <w:r w:rsidR="00E40F95" w:rsidRPr="002F72BC">
        <w:rPr>
          <w:rFonts w:eastAsia="Arial" w:cs="Arial"/>
          <w:bCs/>
          <w:spacing w:val="-1"/>
          <w:sz w:val="22"/>
          <w:szCs w:val="22"/>
        </w:rPr>
        <w:t>a</w:t>
      </w:r>
      <w:r w:rsidR="00E40F95" w:rsidRPr="002F72BC">
        <w:rPr>
          <w:rFonts w:eastAsia="Arial" w:cs="Arial"/>
          <w:bCs/>
          <w:sz w:val="22"/>
          <w:szCs w:val="22"/>
        </w:rPr>
        <w:t>ge</w:t>
      </w:r>
      <w:r w:rsidR="00E40F95" w:rsidRPr="002F72BC">
        <w:rPr>
          <w:rFonts w:eastAsia="Arial" w:cs="Arial"/>
          <w:bCs/>
          <w:spacing w:val="-2"/>
          <w:sz w:val="22"/>
          <w:szCs w:val="22"/>
        </w:rPr>
        <w:t xml:space="preserve"> </w:t>
      </w:r>
      <w:r w:rsidR="00E40F95" w:rsidRPr="002F72BC">
        <w:rPr>
          <w:rFonts w:eastAsia="Arial" w:cs="Arial"/>
          <w:bCs/>
          <w:spacing w:val="-1"/>
          <w:sz w:val="22"/>
          <w:szCs w:val="22"/>
        </w:rPr>
        <w:t>f</w:t>
      </w:r>
      <w:r w:rsidR="00E40F95" w:rsidRPr="002F72BC">
        <w:rPr>
          <w:rFonts w:eastAsia="Arial" w:cs="Arial"/>
          <w:bCs/>
          <w:sz w:val="22"/>
          <w:szCs w:val="22"/>
        </w:rPr>
        <w:t>or</w:t>
      </w:r>
      <w:r w:rsidR="00E40F95" w:rsidRPr="002F72BC">
        <w:rPr>
          <w:rFonts w:eastAsia="Arial" w:cs="Arial"/>
          <w:bCs/>
          <w:spacing w:val="1"/>
          <w:sz w:val="22"/>
          <w:szCs w:val="22"/>
        </w:rPr>
        <w:t xml:space="preserve"> </w:t>
      </w:r>
      <w:r w:rsidR="00E40F95" w:rsidRPr="002F72BC">
        <w:rPr>
          <w:rFonts w:eastAsia="Arial" w:cs="Arial"/>
          <w:bCs/>
          <w:sz w:val="22"/>
          <w:szCs w:val="22"/>
        </w:rPr>
        <w:t>a</w:t>
      </w:r>
      <w:r w:rsidR="00E40F95" w:rsidRPr="002F72BC">
        <w:rPr>
          <w:rFonts w:eastAsia="Arial" w:cs="Arial"/>
          <w:bCs/>
          <w:spacing w:val="-2"/>
          <w:sz w:val="22"/>
          <w:szCs w:val="22"/>
        </w:rPr>
        <w:t xml:space="preserve"> </w:t>
      </w:r>
      <w:r w:rsidR="00E40F95" w:rsidRPr="002F72BC">
        <w:rPr>
          <w:rFonts w:eastAsia="Arial" w:cs="Arial"/>
          <w:bCs/>
          <w:sz w:val="22"/>
          <w:szCs w:val="22"/>
        </w:rPr>
        <w:t>n</w:t>
      </w:r>
      <w:r w:rsidR="00E40F95" w:rsidRPr="002F72BC">
        <w:rPr>
          <w:rFonts w:eastAsia="Arial" w:cs="Arial"/>
          <w:bCs/>
          <w:spacing w:val="-3"/>
          <w:sz w:val="22"/>
          <w:szCs w:val="22"/>
        </w:rPr>
        <w:t>e</w:t>
      </w:r>
      <w:r w:rsidR="00E40F95" w:rsidRPr="002F72BC">
        <w:rPr>
          <w:rFonts w:eastAsia="Arial" w:cs="Arial"/>
          <w:bCs/>
          <w:sz w:val="22"/>
          <w:szCs w:val="22"/>
        </w:rPr>
        <w:t>w</w:t>
      </w:r>
      <w:r w:rsidR="00E40F95" w:rsidRPr="002F72BC">
        <w:rPr>
          <w:rFonts w:eastAsia="Arial" w:cs="Arial"/>
          <w:bCs/>
          <w:spacing w:val="1"/>
          <w:sz w:val="22"/>
          <w:szCs w:val="22"/>
        </w:rPr>
        <w:t xml:space="preserve"> </w:t>
      </w:r>
      <w:r w:rsidR="00E40F95" w:rsidRPr="002F72BC">
        <w:rPr>
          <w:rFonts w:eastAsia="Arial" w:cs="Arial"/>
          <w:bCs/>
          <w:spacing w:val="-1"/>
          <w:sz w:val="22"/>
          <w:szCs w:val="22"/>
        </w:rPr>
        <w:t>ve</w:t>
      </w:r>
      <w:r w:rsidR="00E40F95" w:rsidRPr="002F72BC">
        <w:rPr>
          <w:rFonts w:eastAsia="Arial" w:cs="Arial"/>
          <w:bCs/>
          <w:sz w:val="22"/>
          <w:szCs w:val="22"/>
        </w:rPr>
        <w:t>h</w:t>
      </w:r>
      <w:r w:rsidR="00E40F95" w:rsidRPr="002F72BC">
        <w:rPr>
          <w:rFonts w:eastAsia="Arial" w:cs="Arial"/>
          <w:bCs/>
          <w:spacing w:val="1"/>
          <w:sz w:val="22"/>
          <w:szCs w:val="22"/>
        </w:rPr>
        <w:t>i</w:t>
      </w:r>
      <w:r w:rsidR="00E40F95" w:rsidRPr="002F72BC">
        <w:rPr>
          <w:rFonts w:eastAsia="Arial" w:cs="Arial"/>
          <w:bCs/>
          <w:spacing w:val="-1"/>
          <w:sz w:val="22"/>
          <w:szCs w:val="22"/>
        </w:rPr>
        <w:t>c</w:t>
      </w:r>
      <w:r w:rsidR="00E40F95" w:rsidRPr="002F72BC">
        <w:rPr>
          <w:rFonts w:eastAsia="Arial" w:cs="Arial"/>
          <w:bCs/>
          <w:spacing w:val="1"/>
          <w:sz w:val="22"/>
          <w:szCs w:val="22"/>
        </w:rPr>
        <w:t>l</w:t>
      </w:r>
      <w:r w:rsidR="00E40F95" w:rsidRPr="002F72BC">
        <w:rPr>
          <w:rFonts w:eastAsia="Arial" w:cs="Arial"/>
          <w:bCs/>
          <w:sz w:val="22"/>
          <w:szCs w:val="22"/>
        </w:rPr>
        <w:t>e</w:t>
      </w:r>
      <w:r w:rsidR="00E40F95" w:rsidRPr="002F72BC">
        <w:rPr>
          <w:rFonts w:eastAsia="Arial" w:cs="Arial"/>
          <w:bCs/>
          <w:spacing w:val="-2"/>
          <w:sz w:val="22"/>
          <w:szCs w:val="22"/>
        </w:rPr>
        <w:t xml:space="preserve"> </w:t>
      </w:r>
      <w:r w:rsidR="00E40F95" w:rsidRPr="002F72BC">
        <w:rPr>
          <w:rFonts w:eastAsia="Arial" w:cs="Arial"/>
          <w:bCs/>
          <w:spacing w:val="-1"/>
          <w:sz w:val="22"/>
          <w:szCs w:val="22"/>
        </w:rPr>
        <w:t>t</w:t>
      </w:r>
      <w:r w:rsidR="00E40F95" w:rsidRPr="002F72BC">
        <w:rPr>
          <w:rFonts w:eastAsia="Arial" w:cs="Arial"/>
          <w:bCs/>
          <w:sz w:val="22"/>
          <w:szCs w:val="22"/>
        </w:rPr>
        <w:t>o</w:t>
      </w:r>
      <w:r w:rsidR="00E40F95" w:rsidRPr="002F72BC">
        <w:rPr>
          <w:rFonts w:eastAsia="Arial" w:cs="Arial"/>
          <w:bCs/>
          <w:spacing w:val="1"/>
          <w:sz w:val="22"/>
          <w:szCs w:val="22"/>
        </w:rPr>
        <w:t xml:space="preserve"> </w:t>
      </w:r>
      <w:r w:rsidR="00E40F95" w:rsidRPr="002F72BC">
        <w:rPr>
          <w:rFonts w:eastAsia="Arial" w:cs="Arial"/>
          <w:bCs/>
          <w:spacing w:val="-2"/>
          <w:sz w:val="22"/>
          <w:szCs w:val="22"/>
        </w:rPr>
        <w:t>o</w:t>
      </w:r>
      <w:r w:rsidR="00E40F95" w:rsidRPr="002F72BC">
        <w:rPr>
          <w:rFonts w:eastAsia="Arial" w:cs="Arial"/>
          <w:bCs/>
          <w:sz w:val="22"/>
          <w:szCs w:val="22"/>
        </w:rPr>
        <w:t>b</w:t>
      </w:r>
      <w:r w:rsidR="00E40F95" w:rsidRPr="002F72BC">
        <w:rPr>
          <w:rFonts w:eastAsia="Arial" w:cs="Arial"/>
          <w:bCs/>
          <w:spacing w:val="-1"/>
          <w:sz w:val="22"/>
          <w:szCs w:val="22"/>
        </w:rPr>
        <w:t>ta</w:t>
      </w:r>
      <w:r w:rsidR="00E40F95" w:rsidRPr="002F72BC">
        <w:rPr>
          <w:rFonts w:eastAsia="Arial" w:cs="Arial"/>
          <w:bCs/>
          <w:spacing w:val="1"/>
          <w:sz w:val="22"/>
          <w:szCs w:val="22"/>
        </w:rPr>
        <w:t>i</w:t>
      </w:r>
      <w:r w:rsidR="00E40F95" w:rsidRPr="002F72BC">
        <w:rPr>
          <w:rFonts w:eastAsia="Arial" w:cs="Arial"/>
          <w:bCs/>
          <w:sz w:val="22"/>
          <w:szCs w:val="22"/>
        </w:rPr>
        <w:t>n</w:t>
      </w:r>
      <w:r w:rsidR="00E40F95" w:rsidRPr="002F72BC">
        <w:rPr>
          <w:rFonts w:eastAsia="Arial" w:cs="Arial"/>
          <w:bCs/>
          <w:spacing w:val="-1"/>
          <w:sz w:val="22"/>
          <w:szCs w:val="22"/>
        </w:rPr>
        <w:t xml:space="preserve"> </w:t>
      </w:r>
      <w:r w:rsidR="00E40F95" w:rsidRPr="002F72BC">
        <w:rPr>
          <w:rFonts w:eastAsia="Arial" w:cs="Arial"/>
          <w:bCs/>
          <w:sz w:val="22"/>
          <w:szCs w:val="22"/>
        </w:rPr>
        <w:t xml:space="preserve">a </w:t>
      </w:r>
      <w:r w:rsidR="00E40F95" w:rsidRPr="002F72BC">
        <w:rPr>
          <w:rFonts w:eastAsia="Arial" w:cs="Arial"/>
          <w:bCs/>
          <w:spacing w:val="-1"/>
          <w:sz w:val="22"/>
          <w:szCs w:val="22"/>
        </w:rPr>
        <w:t>l</w:t>
      </w:r>
      <w:r w:rsidR="00E40F95" w:rsidRPr="002F72BC">
        <w:rPr>
          <w:rFonts w:eastAsia="Arial" w:cs="Arial"/>
          <w:bCs/>
          <w:spacing w:val="1"/>
          <w:sz w:val="22"/>
          <w:szCs w:val="22"/>
        </w:rPr>
        <w:t>i</w:t>
      </w:r>
      <w:r w:rsidR="00E40F95" w:rsidRPr="002F72BC">
        <w:rPr>
          <w:rFonts w:eastAsia="Arial" w:cs="Arial"/>
          <w:bCs/>
          <w:spacing w:val="-1"/>
          <w:sz w:val="22"/>
          <w:szCs w:val="22"/>
        </w:rPr>
        <w:t>ce</w:t>
      </w:r>
      <w:r w:rsidR="00E40F95" w:rsidRPr="002F72BC">
        <w:rPr>
          <w:rFonts w:eastAsia="Arial" w:cs="Arial"/>
          <w:bCs/>
          <w:sz w:val="22"/>
          <w:szCs w:val="22"/>
        </w:rPr>
        <w:t>n</w:t>
      </w:r>
      <w:r w:rsidR="00E40F95" w:rsidRPr="002F72BC">
        <w:rPr>
          <w:rFonts w:eastAsia="Arial" w:cs="Arial"/>
          <w:bCs/>
          <w:spacing w:val="-1"/>
          <w:sz w:val="22"/>
          <w:szCs w:val="22"/>
        </w:rPr>
        <w:t>c</w:t>
      </w:r>
      <w:r w:rsidR="00E40F95" w:rsidRPr="002F72BC">
        <w:rPr>
          <w:rFonts w:eastAsia="Arial" w:cs="Arial"/>
          <w:bCs/>
          <w:sz w:val="22"/>
          <w:szCs w:val="22"/>
        </w:rPr>
        <w:t>e</w:t>
      </w:r>
      <w:r w:rsidR="00E40F95" w:rsidRPr="002F72BC">
        <w:rPr>
          <w:rFonts w:eastAsia="Arial" w:cs="Arial"/>
          <w:bCs/>
          <w:spacing w:val="-2"/>
          <w:sz w:val="22"/>
          <w:szCs w:val="22"/>
        </w:rPr>
        <w:t xml:space="preserve"> </w:t>
      </w:r>
      <w:r w:rsidR="00E40F95" w:rsidRPr="002F72BC">
        <w:rPr>
          <w:rFonts w:eastAsia="Arial" w:cs="Arial"/>
          <w:bCs/>
          <w:spacing w:val="1"/>
          <w:sz w:val="22"/>
          <w:szCs w:val="22"/>
        </w:rPr>
        <w:t>i</w:t>
      </w:r>
      <w:r w:rsidR="00E40F95" w:rsidRPr="002F72BC">
        <w:rPr>
          <w:rFonts w:eastAsia="Arial" w:cs="Arial"/>
          <w:bCs/>
          <w:sz w:val="22"/>
          <w:szCs w:val="22"/>
        </w:rPr>
        <w:t>s</w:t>
      </w:r>
      <w:r w:rsidR="00E40F95" w:rsidRPr="002F72BC">
        <w:rPr>
          <w:rFonts w:eastAsia="Arial" w:cs="Arial"/>
          <w:bCs/>
          <w:spacing w:val="-2"/>
          <w:sz w:val="22"/>
          <w:szCs w:val="22"/>
        </w:rPr>
        <w:t xml:space="preserve"> </w:t>
      </w:r>
      <w:r w:rsidR="00E40F95" w:rsidRPr="002F72BC">
        <w:rPr>
          <w:rFonts w:eastAsia="Arial" w:cs="Arial"/>
          <w:bCs/>
          <w:spacing w:val="1"/>
          <w:sz w:val="22"/>
          <w:szCs w:val="22"/>
        </w:rPr>
        <w:t>“l</w:t>
      </w:r>
      <w:r w:rsidR="00E40F95" w:rsidRPr="002F72BC">
        <w:rPr>
          <w:rFonts w:eastAsia="Arial" w:cs="Arial"/>
          <w:bCs/>
          <w:spacing w:val="-1"/>
          <w:sz w:val="22"/>
          <w:szCs w:val="22"/>
        </w:rPr>
        <w:t>es</w:t>
      </w:r>
      <w:r w:rsidR="00E40F95" w:rsidRPr="002F72BC">
        <w:rPr>
          <w:rFonts w:eastAsia="Arial" w:cs="Arial"/>
          <w:bCs/>
          <w:sz w:val="22"/>
          <w:szCs w:val="22"/>
        </w:rPr>
        <w:t>s</w:t>
      </w:r>
      <w:r w:rsidR="00E40F95" w:rsidRPr="002F72BC">
        <w:rPr>
          <w:rFonts w:eastAsia="Arial" w:cs="Arial"/>
          <w:bCs/>
          <w:spacing w:val="-2"/>
          <w:sz w:val="22"/>
          <w:szCs w:val="22"/>
        </w:rPr>
        <w:t xml:space="preserve"> </w:t>
      </w:r>
      <w:r w:rsidR="00E40F95" w:rsidRPr="002F72BC">
        <w:rPr>
          <w:rFonts w:eastAsia="Arial" w:cs="Arial"/>
          <w:bCs/>
          <w:spacing w:val="-1"/>
          <w:sz w:val="22"/>
          <w:szCs w:val="22"/>
        </w:rPr>
        <w:t>t</w:t>
      </w:r>
      <w:r w:rsidR="00E40F95" w:rsidRPr="002F72BC">
        <w:rPr>
          <w:rFonts w:eastAsia="Arial" w:cs="Arial"/>
          <w:bCs/>
          <w:sz w:val="22"/>
          <w:szCs w:val="22"/>
        </w:rPr>
        <w:t>h</w:t>
      </w:r>
      <w:r w:rsidR="00E40F95" w:rsidRPr="002F72BC">
        <w:rPr>
          <w:rFonts w:eastAsia="Arial" w:cs="Arial"/>
          <w:bCs/>
          <w:spacing w:val="-1"/>
          <w:sz w:val="22"/>
          <w:szCs w:val="22"/>
        </w:rPr>
        <w:t>a</w:t>
      </w:r>
      <w:r w:rsidR="00E40F95" w:rsidRPr="002F72BC">
        <w:rPr>
          <w:rFonts w:eastAsia="Arial" w:cs="Arial"/>
          <w:bCs/>
          <w:sz w:val="22"/>
          <w:szCs w:val="22"/>
        </w:rPr>
        <w:t>n</w:t>
      </w:r>
      <w:r w:rsidR="00E40F95" w:rsidRPr="002F72BC">
        <w:rPr>
          <w:rFonts w:eastAsia="Arial" w:cs="Arial"/>
          <w:bCs/>
          <w:spacing w:val="1"/>
          <w:sz w:val="22"/>
          <w:szCs w:val="22"/>
        </w:rPr>
        <w:t xml:space="preserve"> </w:t>
      </w:r>
      <w:r w:rsidR="00E40F95" w:rsidRPr="002F72BC">
        <w:rPr>
          <w:rFonts w:eastAsia="Arial" w:cs="Arial"/>
          <w:bCs/>
          <w:spacing w:val="-1"/>
          <w:sz w:val="22"/>
          <w:szCs w:val="22"/>
        </w:rPr>
        <w:t>f</w:t>
      </w:r>
      <w:r w:rsidR="00E40F95" w:rsidRPr="002F72BC">
        <w:rPr>
          <w:rFonts w:eastAsia="Arial" w:cs="Arial"/>
          <w:bCs/>
          <w:spacing w:val="1"/>
          <w:sz w:val="22"/>
          <w:szCs w:val="22"/>
        </w:rPr>
        <w:t>i</w:t>
      </w:r>
      <w:r w:rsidR="00E40F95" w:rsidRPr="002F72BC">
        <w:rPr>
          <w:rFonts w:eastAsia="Arial" w:cs="Arial"/>
          <w:bCs/>
          <w:spacing w:val="-1"/>
          <w:sz w:val="22"/>
          <w:szCs w:val="22"/>
        </w:rPr>
        <w:t>v</w:t>
      </w:r>
      <w:r w:rsidR="00E40F95" w:rsidRPr="002F72BC">
        <w:rPr>
          <w:rFonts w:eastAsia="Arial" w:cs="Arial"/>
          <w:bCs/>
          <w:sz w:val="22"/>
          <w:szCs w:val="22"/>
        </w:rPr>
        <w:t xml:space="preserve">e </w:t>
      </w:r>
      <w:r w:rsidR="00E40F95" w:rsidRPr="002F72BC">
        <w:rPr>
          <w:rFonts w:eastAsia="Arial" w:cs="Arial"/>
          <w:bCs/>
          <w:spacing w:val="-8"/>
          <w:sz w:val="22"/>
          <w:szCs w:val="22"/>
        </w:rPr>
        <w:t>y</w:t>
      </w:r>
      <w:r w:rsidR="00E40F95" w:rsidRPr="002F72BC">
        <w:rPr>
          <w:rFonts w:eastAsia="Arial" w:cs="Arial"/>
          <w:bCs/>
          <w:spacing w:val="-1"/>
          <w:sz w:val="22"/>
          <w:szCs w:val="22"/>
        </w:rPr>
        <w:t>ea</w:t>
      </w:r>
      <w:r w:rsidR="00E40F95" w:rsidRPr="002F72BC">
        <w:rPr>
          <w:rFonts w:eastAsia="Arial" w:cs="Arial"/>
          <w:bCs/>
          <w:sz w:val="22"/>
          <w:szCs w:val="22"/>
        </w:rPr>
        <w:t>rs</w:t>
      </w:r>
      <w:r w:rsidR="00E40F95" w:rsidRPr="002F72BC">
        <w:rPr>
          <w:rFonts w:eastAsia="Arial" w:cs="Arial"/>
          <w:bCs/>
          <w:spacing w:val="1"/>
          <w:sz w:val="22"/>
          <w:szCs w:val="22"/>
        </w:rPr>
        <w:t xml:space="preserve"> </w:t>
      </w:r>
      <w:r w:rsidR="00E40F95" w:rsidRPr="002F72BC">
        <w:rPr>
          <w:rFonts w:eastAsia="Arial" w:cs="Arial"/>
          <w:bCs/>
          <w:sz w:val="22"/>
          <w:szCs w:val="22"/>
        </w:rPr>
        <w:t xml:space="preserve">of </w:t>
      </w:r>
      <w:r w:rsidR="00E40F95" w:rsidRPr="002F72BC">
        <w:rPr>
          <w:rFonts w:eastAsia="Arial" w:cs="Arial"/>
          <w:bCs/>
          <w:spacing w:val="-1"/>
          <w:sz w:val="22"/>
          <w:szCs w:val="22"/>
        </w:rPr>
        <w:t>a</w:t>
      </w:r>
      <w:r w:rsidR="00E40F95" w:rsidRPr="002F72BC">
        <w:rPr>
          <w:rFonts w:eastAsia="Arial" w:cs="Arial"/>
          <w:bCs/>
          <w:sz w:val="22"/>
          <w:szCs w:val="22"/>
        </w:rPr>
        <w:t>g</w:t>
      </w:r>
      <w:r w:rsidR="00E40F95" w:rsidRPr="002F72BC">
        <w:rPr>
          <w:rFonts w:eastAsia="Arial" w:cs="Arial"/>
          <w:bCs/>
          <w:spacing w:val="-1"/>
          <w:sz w:val="22"/>
          <w:szCs w:val="22"/>
        </w:rPr>
        <w:t>e</w:t>
      </w:r>
      <w:r w:rsidR="00E40F95" w:rsidRPr="002F72BC">
        <w:rPr>
          <w:rFonts w:eastAsia="Arial" w:cs="Arial"/>
          <w:bCs/>
          <w:sz w:val="22"/>
          <w:szCs w:val="22"/>
        </w:rPr>
        <w:t>”</w:t>
      </w:r>
    </w:p>
    <w:p w:rsidR="0003611C" w:rsidRPr="002F72BC" w:rsidRDefault="00E40F95" w:rsidP="009B3526">
      <w:pPr>
        <w:pStyle w:val="bParagraphtext"/>
        <w:numPr>
          <w:ilvl w:val="0"/>
          <w:numId w:val="7"/>
        </w:numPr>
      </w:pPr>
      <w:r w:rsidRPr="002F72BC">
        <w:rPr>
          <w:sz w:val="22"/>
        </w:rPr>
        <w:t>From 1</w:t>
      </w:r>
      <w:r w:rsidRPr="002F72BC">
        <w:rPr>
          <w:sz w:val="22"/>
          <w:vertAlign w:val="superscript"/>
        </w:rPr>
        <w:t>st</w:t>
      </w:r>
      <w:r w:rsidRPr="002F72BC">
        <w:rPr>
          <w:sz w:val="22"/>
        </w:rPr>
        <w:t xml:space="preserve"> January 2020 </w:t>
      </w:r>
      <w:r w:rsidR="000E323E" w:rsidRPr="002F72BC">
        <w:rPr>
          <w:sz w:val="22"/>
        </w:rPr>
        <w:t xml:space="preserve">all </w:t>
      </w:r>
      <w:r w:rsidR="004C3394" w:rsidRPr="002F72BC">
        <w:rPr>
          <w:sz w:val="22"/>
        </w:rPr>
        <w:t xml:space="preserve">renewal </w:t>
      </w:r>
      <w:r w:rsidR="00CA27AE" w:rsidRPr="002F72BC">
        <w:rPr>
          <w:sz w:val="22"/>
        </w:rPr>
        <w:t>HCV</w:t>
      </w:r>
      <w:r w:rsidR="009C4975" w:rsidRPr="002F72BC">
        <w:rPr>
          <w:sz w:val="22"/>
        </w:rPr>
        <w:t xml:space="preserve"> </w:t>
      </w:r>
      <w:r w:rsidR="000E323E" w:rsidRPr="002F72BC">
        <w:rPr>
          <w:sz w:val="22"/>
        </w:rPr>
        <w:t>applications</w:t>
      </w:r>
      <w:r w:rsidR="0003611C" w:rsidRPr="002F72BC">
        <w:rPr>
          <w:sz w:val="22"/>
        </w:rPr>
        <w:t xml:space="preserve"> must meet the EURO 4</w:t>
      </w:r>
      <w:r w:rsidR="00CA27AE" w:rsidRPr="002F72BC">
        <w:rPr>
          <w:sz w:val="22"/>
        </w:rPr>
        <w:t xml:space="preserve"> standard as minimum; and, </w:t>
      </w:r>
      <w:r w:rsidR="0003611C" w:rsidRPr="002F72BC">
        <w:rPr>
          <w:sz w:val="22"/>
        </w:rPr>
        <w:t>all new</w:t>
      </w:r>
      <w:r w:rsidR="004C3394" w:rsidRPr="002F72BC">
        <w:rPr>
          <w:sz w:val="22"/>
        </w:rPr>
        <w:t xml:space="preserve"> HCV</w:t>
      </w:r>
      <w:r w:rsidR="0003611C" w:rsidRPr="002F72BC">
        <w:rPr>
          <w:sz w:val="22"/>
        </w:rPr>
        <w:t xml:space="preserve"> applications must meet </w:t>
      </w:r>
      <w:r w:rsidR="00CA27AE" w:rsidRPr="002F72BC">
        <w:rPr>
          <w:sz w:val="22"/>
        </w:rPr>
        <w:t xml:space="preserve">either </w:t>
      </w:r>
      <w:r w:rsidR="0003611C" w:rsidRPr="002F72BC">
        <w:rPr>
          <w:sz w:val="22"/>
        </w:rPr>
        <w:t xml:space="preserve">the </w:t>
      </w:r>
      <w:r w:rsidR="00CA27AE" w:rsidRPr="002F72BC">
        <w:rPr>
          <w:sz w:val="22"/>
        </w:rPr>
        <w:t xml:space="preserve">EURO 4, </w:t>
      </w:r>
      <w:r w:rsidR="0003611C" w:rsidRPr="002F72BC">
        <w:rPr>
          <w:sz w:val="22"/>
        </w:rPr>
        <w:t xml:space="preserve">EURO </w:t>
      </w:r>
      <w:r w:rsidR="004C1DAA" w:rsidRPr="002F72BC">
        <w:rPr>
          <w:sz w:val="22"/>
        </w:rPr>
        <w:t>6</w:t>
      </w:r>
      <w:r w:rsidR="00CA27AE" w:rsidRPr="002F72BC">
        <w:rPr>
          <w:sz w:val="22"/>
        </w:rPr>
        <w:t xml:space="preserve"> or ULEV</w:t>
      </w:r>
      <w:r w:rsidR="0003611C" w:rsidRPr="002F72BC">
        <w:rPr>
          <w:sz w:val="22"/>
        </w:rPr>
        <w:t xml:space="preserve"> standard as </w:t>
      </w:r>
      <w:r w:rsidR="00CA27AE" w:rsidRPr="002F72BC">
        <w:rPr>
          <w:sz w:val="22"/>
        </w:rPr>
        <w:t xml:space="preserve">a </w:t>
      </w:r>
      <w:r w:rsidR="0003611C" w:rsidRPr="002F72BC">
        <w:rPr>
          <w:sz w:val="22"/>
        </w:rPr>
        <w:t>minimum</w:t>
      </w:r>
      <w:r w:rsidR="00CA27AE" w:rsidRPr="002F72BC">
        <w:rPr>
          <w:sz w:val="22"/>
        </w:rPr>
        <w:t xml:space="preserve"> (EURO 5 vehicles are not considered to meet that standard)</w:t>
      </w:r>
      <w:r w:rsidR="0003611C" w:rsidRPr="002F72BC">
        <w:rPr>
          <w:sz w:val="22"/>
        </w:rPr>
        <w:t>;</w:t>
      </w:r>
    </w:p>
    <w:p w:rsidR="0003611C" w:rsidRPr="004C1DAA" w:rsidRDefault="004C3394" w:rsidP="006351D7">
      <w:pPr>
        <w:pStyle w:val="bParagraphtext"/>
        <w:numPr>
          <w:ilvl w:val="0"/>
          <w:numId w:val="7"/>
        </w:numPr>
      </w:pPr>
      <w:r w:rsidRPr="004C1DAA">
        <w:rPr>
          <w:sz w:val="22"/>
        </w:rPr>
        <w:t>F</w:t>
      </w:r>
      <w:r w:rsidR="0003611C" w:rsidRPr="004C1DAA">
        <w:rPr>
          <w:sz w:val="22"/>
        </w:rPr>
        <w:t xml:space="preserve">rom </w:t>
      </w:r>
      <w:r w:rsidR="00E202F1" w:rsidRPr="004C1DAA">
        <w:rPr>
          <w:sz w:val="22"/>
        </w:rPr>
        <w:t>1</w:t>
      </w:r>
      <w:r w:rsidR="00E202F1" w:rsidRPr="004C1DAA">
        <w:rPr>
          <w:sz w:val="22"/>
          <w:vertAlign w:val="superscript"/>
        </w:rPr>
        <w:t>st</w:t>
      </w:r>
      <w:r w:rsidR="00E202F1" w:rsidRPr="004C1DAA">
        <w:rPr>
          <w:sz w:val="22"/>
        </w:rPr>
        <w:t xml:space="preserve"> January</w:t>
      </w:r>
      <w:r w:rsidRPr="004C1DAA">
        <w:rPr>
          <w:sz w:val="22"/>
        </w:rPr>
        <w:t xml:space="preserve"> 2022 all new </w:t>
      </w:r>
      <w:r w:rsidR="009C4975" w:rsidRPr="004C1DAA">
        <w:rPr>
          <w:sz w:val="22"/>
        </w:rPr>
        <w:t>HCV</w:t>
      </w:r>
      <w:r w:rsidRPr="004C1DAA">
        <w:rPr>
          <w:sz w:val="22"/>
        </w:rPr>
        <w:t xml:space="preserve"> applications</w:t>
      </w:r>
      <w:r w:rsidR="0003611C" w:rsidRPr="004C1DAA">
        <w:rPr>
          <w:sz w:val="22"/>
        </w:rPr>
        <w:t xml:space="preserve"> </w:t>
      </w:r>
      <w:r w:rsidRPr="004C1DAA">
        <w:rPr>
          <w:sz w:val="22"/>
        </w:rPr>
        <w:t>must meet</w:t>
      </w:r>
      <w:r w:rsidR="0003611C" w:rsidRPr="004C1DAA">
        <w:rPr>
          <w:sz w:val="22"/>
        </w:rPr>
        <w:t xml:space="preserve"> ULEV standard</w:t>
      </w:r>
      <w:r w:rsidR="002F72BC">
        <w:rPr>
          <w:sz w:val="22"/>
        </w:rPr>
        <w:t xml:space="preserve"> </w:t>
      </w:r>
      <w:r w:rsidR="0056368B">
        <w:rPr>
          <w:sz w:val="22"/>
        </w:rPr>
        <w:t xml:space="preserve">or at least Euro 4 if </w:t>
      </w:r>
      <w:r w:rsidR="002F72BC">
        <w:rPr>
          <w:sz w:val="22"/>
        </w:rPr>
        <w:t>replacing an existing Euro 4, Euro 5 or Euro 6 due to the vehicle being written off by an insurance company</w:t>
      </w:r>
      <w:r w:rsidR="00DD3A11">
        <w:rPr>
          <w:sz w:val="22"/>
        </w:rPr>
        <w:t xml:space="preserve"> or is a temporary courtesy vehicle</w:t>
      </w:r>
      <w:r w:rsidR="0051282D">
        <w:rPr>
          <w:sz w:val="22"/>
        </w:rPr>
        <w:t xml:space="preserve"> due to repairs</w:t>
      </w:r>
      <w:r w:rsidR="002F72BC">
        <w:rPr>
          <w:sz w:val="22"/>
        </w:rPr>
        <w:t>;</w:t>
      </w:r>
    </w:p>
    <w:p w:rsidR="00E202F1" w:rsidRPr="004C1DAA" w:rsidRDefault="004C3394" w:rsidP="006351D7">
      <w:pPr>
        <w:pStyle w:val="bParagraphtext"/>
        <w:numPr>
          <w:ilvl w:val="0"/>
          <w:numId w:val="7"/>
        </w:numPr>
      </w:pPr>
      <w:r w:rsidRPr="004C1DAA">
        <w:rPr>
          <w:sz w:val="22"/>
        </w:rPr>
        <w:t>F</w:t>
      </w:r>
      <w:r w:rsidR="00E202F1" w:rsidRPr="004C1DAA">
        <w:rPr>
          <w:sz w:val="22"/>
        </w:rPr>
        <w:t>rom 1</w:t>
      </w:r>
      <w:r w:rsidR="00E202F1" w:rsidRPr="004C1DAA">
        <w:rPr>
          <w:sz w:val="22"/>
          <w:vertAlign w:val="superscript"/>
        </w:rPr>
        <w:t>st</w:t>
      </w:r>
      <w:r w:rsidR="00E202F1" w:rsidRPr="004C1DAA">
        <w:rPr>
          <w:sz w:val="22"/>
        </w:rPr>
        <w:t xml:space="preserve"> January 2025 all new and renewal </w:t>
      </w:r>
      <w:r w:rsidR="009C4975" w:rsidRPr="004C1DAA">
        <w:rPr>
          <w:sz w:val="22"/>
        </w:rPr>
        <w:t>HCV</w:t>
      </w:r>
      <w:r w:rsidRPr="004C1DAA">
        <w:rPr>
          <w:sz w:val="22"/>
        </w:rPr>
        <w:t xml:space="preserve"> </w:t>
      </w:r>
      <w:r w:rsidR="00E202F1" w:rsidRPr="004C1DAA">
        <w:rPr>
          <w:sz w:val="22"/>
        </w:rPr>
        <w:t>applications must meet the Ultra-Low Emissions Vehicle standard</w:t>
      </w:r>
    </w:p>
    <w:p w:rsidR="00895F59" w:rsidRPr="00895F59" w:rsidRDefault="00895F59" w:rsidP="00895F59">
      <w:pPr>
        <w:pStyle w:val="bParagraphtext"/>
        <w:numPr>
          <w:ilvl w:val="0"/>
          <w:numId w:val="0"/>
        </w:numPr>
        <w:ind w:left="1216"/>
        <w:rPr>
          <w:sz w:val="4"/>
          <w:szCs w:val="4"/>
        </w:rPr>
      </w:pPr>
    </w:p>
    <w:tbl>
      <w:tblPr>
        <w:tblStyle w:val="TableGrid"/>
        <w:tblW w:w="9214" w:type="dxa"/>
        <w:tblInd w:w="108" w:type="dxa"/>
        <w:tblLook w:val="04A0" w:firstRow="1" w:lastRow="0" w:firstColumn="1" w:lastColumn="0" w:noHBand="0" w:noVBand="1"/>
      </w:tblPr>
      <w:tblGrid>
        <w:gridCol w:w="2127"/>
        <w:gridCol w:w="3402"/>
        <w:gridCol w:w="3685"/>
      </w:tblGrid>
      <w:tr w:rsidR="004C3394" w:rsidRPr="004C1DAA" w:rsidTr="00CA27AE">
        <w:trPr>
          <w:trHeight w:val="403"/>
        </w:trPr>
        <w:tc>
          <w:tcPr>
            <w:tcW w:w="2127" w:type="dxa"/>
          </w:tcPr>
          <w:p w:rsidR="004C3394" w:rsidRPr="001C3617" w:rsidRDefault="00895F59" w:rsidP="00895F59">
            <w:pPr>
              <w:pStyle w:val="bParagraphtext"/>
              <w:numPr>
                <w:ilvl w:val="0"/>
                <w:numId w:val="0"/>
              </w:numPr>
              <w:jc w:val="center"/>
              <w:rPr>
                <w:b/>
                <w:sz w:val="22"/>
              </w:rPr>
            </w:pPr>
            <w:r w:rsidRPr="001C3617">
              <w:rPr>
                <w:b/>
                <w:sz w:val="22"/>
              </w:rPr>
              <w:t>Date From</w:t>
            </w:r>
          </w:p>
        </w:tc>
        <w:tc>
          <w:tcPr>
            <w:tcW w:w="3402" w:type="dxa"/>
          </w:tcPr>
          <w:p w:rsidR="004C3394" w:rsidRPr="001C3617" w:rsidRDefault="00895F59" w:rsidP="00895F59">
            <w:pPr>
              <w:pStyle w:val="bParagraphtext"/>
              <w:numPr>
                <w:ilvl w:val="0"/>
                <w:numId w:val="0"/>
              </w:numPr>
              <w:jc w:val="center"/>
              <w:rPr>
                <w:b/>
                <w:sz w:val="22"/>
              </w:rPr>
            </w:pPr>
            <w:r w:rsidRPr="001C3617">
              <w:rPr>
                <w:b/>
                <w:sz w:val="22"/>
                <w:u w:val="single"/>
              </w:rPr>
              <w:t>Renewal</w:t>
            </w:r>
            <w:r w:rsidRPr="001C3617">
              <w:rPr>
                <w:b/>
                <w:sz w:val="22"/>
              </w:rPr>
              <w:t xml:space="preserve"> HCV Applications</w:t>
            </w:r>
          </w:p>
        </w:tc>
        <w:tc>
          <w:tcPr>
            <w:tcW w:w="3685" w:type="dxa"/>
          </w:tcPr>
          <w:p w:rsidR="001C3617" w:rsidRPr="004C1DAA" w:rsidRDefault="00895F59" w:rsidP="00AC3D8D">
            <w:pPr>
              <w:pStyle w:val="bParagraphtext"/>
              <w:numPr>
                <w:ilvl w:val="0"/>
                <w:numId w:val="0"/>
              </w:numPr>
              <w:jc w:val="center"/>
              <w:rPr>
                <w:b/>
                <w:sz w:val="22"/>
                <w:highlight w:val="yellow"/>
              </w:rPr>
            </w:pPr>
            <w:r w:rsidRPr="00802852">
              <w:rPr>
                <w:b/>
                <w:sz w:val="22"/>
                <w:u w:val="single"/>
              </w:rPr>
              <w:t>New</w:t>
            </w:r>
            <w:r w:rsidRPr="00802852">
              <w:rPr>
                <w:b/>
                <w:sz w:val="22"/>
              </w:rPr>
              <w:t xml:space="preserve"> HCV Application</w:t>
            </w:r>
            <w:r w:rsidRPr="00AC3D8D">
              <w:rPr>
                <w:b/>
                <w:sz w:val="22"/>
              </w:rPr>
              <w:t>s</w:t>
            </w:r>
            <w:r w:rsidR="001C3617" w:rsidRPr="00AC3D8D">
              <w:rPr>
                <w:b/>
                <w:sz w:val="22"/>
              </w:rPr>
              <w:t>:</w:t>
            </w:r>
            <w:r w:rsidR="001C3617" w:rsidRPr="00802852">
              <w:rPr>
                <w:b/>
                <w:sz w:val="22"/>
              </w:rPr>
              <w:t xml:space="preserve"> </w:t>
            </w:r>
          </w:p>
        </w:tc>
      </w:tr>
      <w:tr w:rsidR="004C3394" w:rsidRPr="004C1DAA" w:rsidTr="00CA27AE">
        <w:trPr>
          <w:trHeight w:val="565"/>
        </w:trPr>
        <w:tc>
          <w:tcPr>
            <w:tcW w:w="2127" w:type="dxa"/>
          </w:tcPr>
          <w:p w:rsidR="004C3394" w:rsidRPr="001C3617" w:rsidRDefault="00895F59" w:rsidP="004C3394">
            <w:pPr>
              <w:pStyle w:val="bParagraphtext"/>
              <w:numPr>
                <w:ilvl w:val="0"/>
                <w:numId w:val="0"/>
              </w:numPr>
              <w:rPr>
                <w:sz w:val="22"/>
              </w:rPr>
            </w:pPr>
            <w:r w:rsidRPr="001C3617">
              <w:rPr>
                <w:sz w:val="22"/>
              </w:rPr>
              <w:t>1</w:t>
            </w:r>
            <w:r w:rsidRPr="001C3617">
              <w:rPr>
                <w:sz w:val="22"/>
                <w:vertAlign w:val="superscript"/>
              </w:rPr>
              <w:t>st</w:t>
            </w:r>
            <w:r w:rsidRPr="001C3617">
              <w:rPr>
                <w:sz w:val="22"/>
              </w:rPr>
              <w:t xml:space="preserve"> January 2020</w:t>
            </w:r>
          </w:p>
        </w:tc>
        <w:tc>
          <w:tcPr>
            <w:tcW w:w="3402" w:type="dxa"/>
          </w:tcPr>
          <w:p w:rsidR="004C3394" w:rsidRPr="001C3617" w:rsidRDefault="00895F59" w:rsidP="00772A69">
            <w:pPr>
              <w:pStyle w:val="bParagraphtext"/>
              <w:numPr>
                <w:ilvl w:val="0"/>
                <w:numId w:val="0"/>
              </w:numPr>
              <w:rPr>
                <w:sz w:val="22"/>
              </w:rPr>
            </w:pPr>
            <w:r w:rsidRPr="001C3617">
              <w:rPr>
                <w:sz w:val="22"/>
              </w:rPr>
              <w:t>All HCV must meet EURO 4 emission standard</w:t>
            </w:r>
          </w:p>
        </w:tc>
        <w:tc>
          <w:tcPr>
            <w:tcW w:w="3685" w:type="dxa"/>
          </w:tcPr>
          <w:p w:rsidR="00CA27AE" w:rsidRPr="002F72BC" w:rsidRDefault="00895F59" w:rsidP="00CA27AE">
            <w:pPr>
              <w:pStyle w:val="bParagraphtext"/>
              <w:numPr>
                <w:ilvl w:val="0"/>
                <w:numId w:val="0"/>
              </w:numPr>
              <w:rPr>
                <w:sz w:val="22"/>
              </w:rPr>
            </w:pPr>
            <w:r w:rsidRPr="002F72BC">
              <w:rPr>
                <w:sz w:val="22"/>
              </w:rPr>
              <w:t xml:space="preserve">All HCV must meet </w:t>
            </w:r>
            <w:r w:rsidR="00CA27AE" w:rsidRPr="002F72BC">
              <w:rPr>
                <w:sz w:val="22"/>
              </w:rPr>
              <w:t xml:space="preserve">EURO4, </w:t>
            </w:r>
            <w:r w:rsidRPr="002F72BC">
              <w:rPr>
                <w:sz w:val="22"/>
              </w:rPr>
              <w:t xml:space="preserve">EURO </w:t>
            </w:r>
            <w:r w:rsidR="0073186C" w:rsidRPr="002F72BC">
              <w:rPr>
                <w:sz w:val="22"/>
              </w:rPr>
              <w:t>6</w:t>
            </w:r>
            <w:r w:rsidRPr="002F72BC">
              <w:rPr>
                <w:sz w:val="22"/>
              </w:rPr>
              <w:t xml:space="preserve"> </w:t>
            </w:r>
            <w:r w:rsidR="00CA27AE" w:rsidRPr="002F72BC">
              <w:rPr>
                <w:sz w:val="22"/>
              </w:rPr>
              <w:t xml:space="preserve">or ULEV </w:t>
            </w:r>
            <w:r w:rsidRPr="002F72BC">
              <w:rPr>
                <w:sz w:val="22"/>
              </w:rPr>
              <w:t>emission standard</w:t>
            </w:r>
            <w:r w:rsidR="001C3617" w:rsidRPr="002F72BC">
              <w:rPr>
                <w:sz w:val="22"/>
              </w:rPr>
              <w:t xml:space="preserve"> </w:t>
            </w:r>
          </w:p>
          <w:p w:rsidR="001C3617" w:rsidRPr="004C1DAA" w:rsidRDefault="00E40F95" w:rsidP="00CA27AE">
            <w:pPr>
              <w:pStyle w:val="bParagraphtext"/>
              <w:numPr>
                <w:ilvl w:val="0"/>
                <w:numId w:val="0"/>
              </w:numPr>
              <w:rPr>
                <w:sz w:val="22"/>
                <w:highlight w:val="yellow"/>
              </w:rPr>
            </w:pPr>
            <w:r w:rsidRPr="002F72BC">
              <w:rPr>
                <w:sz w:val="22"/>
              </w:rPr>
              <w:t>(</w:t>
            </w:r>
            <w:r w:rsidR="00CA27AE" w:rsidRPr="002F72BC">
              <w:rPr>
                <w:sz w:val="22"/>
              </w:rPr>
              <w:t>EURO 5 vehicles will not be considered to meet this standard</w:t>
            </w:r>
            <w:r w:rsidRPr="002F72BC">
              <w:rPr>
                <w:sz w:val="22"/>
              </w:rPr>
              <w:t>)</w:t>
            </w:r>
          </w:p>
        </w:tc>
      </w:tr>
      <w:tr w:rsidR="004C3394" w:rsidRPr="004C1DAA" w:rsidTr="00CA27AE">
        <w:trPr>
          <w:trHeight w:val="553"/>
        </w:trPr>
        <w:tc>
          <w:tcPr>
            <w:tcW w:w="2127" w:type="dxa"/>
          </w:tcPr>
          <w:p w:rsidR="004C3394" w:rsidRPr="001C3617" w:rsidRDefault="00895F59" w:rsidP="004C3394">
            <w:pPr>
              <w:pStyle w:val="bParagraphtext"/>
              <w:numPr>
                <w:ilvl w:val="0"/>
                <w:numId w:val="0"/>
              </w:numPr>
              <w:rPr>
                <w:sz w:val="22"/>
              </w:rPr>
            </w:pPr>
            <w:r w:rsidRPr="001C3617">
              <w:rPr>
                <w:sz w:val="22"/>
              </w:rPr>
              <w:t>1</w:t>
            </w:r>
            <w:r w:rsidRPr="001C3617">
              <w:rPr>
                <w:sz w:val="22"/>
                <w:vertAlign w:val="superscript"/>
              </w:rPr>
              <w:t>st</w:t>
            </w:r>
            <w:r w:rsidRPr="001C3617">
              <w:rPr>
                <w:sz w:val="22"/>
              </w:rPr>
              <w:t xml:space="preserve"> January 2022</w:t>
            </w:r>
          </w:p>
        </w:tc>
        <w:tc>
          <w:tcPr>
            <w:tcW w:w="3402" w:type="dxa"/>
          </w:tcPr>
          <w:p w:rsidR="004C3394" w:rsidRPr="001C3617" w:rsidRDefault="00895F59" w:rsidP="00772A69">
            <w:pPr>
              <w:pStyle w:val="bParagraphtext"/>
              <w:numPr>
                <w:ilvl w:val="0"/>
                <w:numId w:val="0"/>
              </w:numPr>
              <w:rPr>
                <w:sz w:val="22"/>
              </w:rPr>
            </w:pPr>
            <w:r w:rsidRPr="001C3617">
              <w:rPr>
                <w:sz w:val="22"/>
              </w:rPr>
              <w:t xml:space="preserve">All HCV must meet EURO </w:t>
            </w:r>
            <w:r w:rsidR="0073186C" w:rsidRPr="001C3617">
              <w:rPr>
                <w:sz w:val="22"/>
              </w:rPr>
              <w:t>4</w:t>
            </w:r>
            <w:r w:rsidRPr="001C3617">
              <w:rPr>
                <w:sz w:val="22"/>
              </w:rPr>
              <w:t xml:space="preserve"> emission standard</w:t>
            </w:r>
          </w:p>
        </w:tc>
        <w:tc>
          <w:tcPr>
            <w:tcW w:w="3685" w:type="dxa"/>
          </w:tcPr>
          <w:p w:rsidR="004C3394" w:rsidRPr="001C3617" w:rsidRDefault="00895F59" w:rsidP="0051282D">
            <w:pPr>
              <w:pStyle w:val="bParagraphtext"/>
              <w:numPr>
                <w:ilvl w:val="0"/>
                <w:numId w:val="0"/>
              </w:numPr>
              <w:rPr>
                <w:sz w:val="22"/>
              </w:rPr>
            </w:pPr>
            <w:r w:rsidRPr="001C3617">
              <w:rPr>
                <w:sz w:val="22"/>
              </w:rPr>
              <w:t>All HCV must meet ULEV standard</w:t>
            </w:r>
            <w:r w:rsidR="002F72BC">
              <w:rPr>
                <w:sz w:val="22"/>
              </w:rPr>
              <w:t xml:space="preserve">, </w:t>
            </w:r>
            <w:r w:rsidR="0056368B">
              <w:rPr>
                <w:sz w:val="22"/>
              </w:rPr>
              <w:t>or at least Euro 4 if replacing an existing Euro 4, Euro 5 or Euro 6 due to the vehicle being written off by an insurance compan</w:t>
            </w:r>
            <w:r w:rsidR="00DD3A11">
              <w:rPr>
                <w:sz w:val="22"/>
              </w:rPr>
              <w:t>y or is a temporary courtesy vehicle</w:t>
            </w:r>
            <w:r w:rsidR="0056368B">
              <w:rPr>
                <w:sz w:val="22"/>
              </w:rPr>
              <w:t xml:space="preserve"> due to repairs</w:t>
            </w:r>
          </w:p>
        </w:tc>
      </w:tr>
      <w:tr w:rsidR="004C3394" w:rsidRPr="004C1DAA" w:rsidTr="00CA27AE">
        <w:trPr>
          <w:trHeight w:val="482"/>
        </w:trPr>
        <w:tc>
          <w:tcPr>
            <w:tcW w:w="2127" w:type="dxa"/>
          </w:tcPr>
          <w:p w:rsidR="004C3394" w:rsidRPr="001C3617" w:rsidRDefault="00895F59" w:rsidP="004C3394">
            <w:pPr>
              <w:pStyle w:val="bParagraphtext"/>
              <w:numPr>
                <w:ilvl w:val="0"/>
                <w:numId w:val="0"/>
              </w:numPr>
              <w:rPr>
                <w:sz w:val="22"/>
              </w:rPr>
            </w:pPr>
            <w:r w:rsidRPr="001C3617">
              <w:rPr>
                <w:sz w:val="22"/>
              </w:rPr>
              <w:t>1</w:t>
            </w:r>
            <w:r w:rsidRPr="001C3617">
              <w:rPr>
                <w:sz w:val="22"/>
                <w:vertAlign w:val="superscript"/>
              </w:rPr>
              <w:t>st</w:t>
            </w:r>
            <w:r w:rsidRPr="001C3617">
              <w:rPr>
                <w:sz w:val="22"/>
              </w:rPr>
              <w:t xml:space="preserve"> January 2025</w:t>
            </w:r>
          </w:p>
        </w:tc>
        <w:tc>
          <w:tcPr>
            <w:tcW w:w="3402" w:type="dxa"/>
          </w:tcPr>
          <w:p w:rsidR="004C3394" w:rsidRPr="001C3617" w:rsidRDefault="00895F59" w:rsidP="004C3394">
            <w:pPr>
              <w:pStyle w:val="bParagraphtext"/>
              <w:numPr>
                <w:ilvl w:val="0"/>
                <w:numId w:val="0"/>
              </w:numPr>
              <w:rPr>
                <w:sz w:val="22"/>
              </w:rPr>
            </w:pPr>
            <w:r w:rsidRPr="001C3617">
              <w:rPr>
                <w:sz w:val="22"/>
              </w:rPr>
              <w:t>All HCV must meet ULEV standard</w:t>
            </w:r>
          </w:p>
        </w:tc>
        <w:tc>
          <w:tcPr>
            <w:tcW w:w="3685" w:type="dxa"/>
          </w:tcPr>
          <w:p w:rsidR="004C3394" w:rsidRPr="001C3617" w:rsidRDefault="00895F59" w:rsidP="004C3394">
            <w:pPr>
              <w:pStyle w:val="bParagraphtext"/>
              <w:numPr>
                <w:ilvl w:val="0"/>
                <w:numId w:val="0"/>
              </w:numPr>
              <w:rPr>
                <w:sz w:val="22"/>
              </w:rPr>
            </w:pPr>
            <w:r w:rsidRPr="001C3617">
              <w:rPr>
                <w:sz w:val="22"/>
              </w:rPr>
              <w:t>All HCV must meet ULEV standard</w:t>
            </w:r>
          </w:p>
        </w:tc>
      </w:tr>
    </w:tbl>
    <w:p w:rsidR="004C3394" w:rsidRPr="00E202F1" w:rsidRDefault="004C3394" w:rsidP="00895F59">
      <w:pPr>
        <w:pStyle w:val="bParagraphtext"/>
        <w:numPr>
          <w:ilvl w:val="0"/>
          <w:numId w:val="0"/>
        </w:numPr>
      </w:pPr>
    </w:p>
    <w:p w:rsidR="009B3526" w:rsidRDefault="00DB7B5D" w:rsidP="002362AD">
      <w:pPr>
        <w:pStyle w:val="bParagraphtext"/>
        <w:ind w:left="360" w:hanging="502"/>
      </w:pPr>
      <w:r>
        <w:t>The dates that EURO standards come into effect can vary: e.g. a manufacturer may be producing EURO</w:t>
      </w:r>
      <w:r w:rsidR="0073186C">
        <w:t xml:space="preserve"> 4</w:t>
      </w:r>
      <w:r>
        <w:t xml:space="preserve"> qualifying vehicles for a “transition period” before the official date that the standard comes into effect. For the purposes of this emission standard the following table describes how the emission standard of a vehicle will be assessed</w:t>
      </w:r>
      <w:r w:rsidR="00E202F1">
        <w:t>.</w:t>
      </w:r>
      <w:r>
        <w:t xml:space="preserve"> Where there are “transition periods” the table assumes the highest </w:t>
      </w:r>
      <w:r w:rsidR="001C3617">
        <w:t xml:space="preserve">Euro standard </w:t>
      </w:r>
      <w:r>
        <w:t>possible.</w:t>
      </w:r>
      <w:r w:rsidR="00E202F1" w:rsidRPr="006069F9">
        <w:t xml:space="preserve"> </w:t>
      </w:r>
    </w:p>
    <w:p w:rsidR="00DD3A11" w:rsidRDefault="00DD3A11" w:rsidP="00DD3A11">
      <w:pPr>
        <w:pStyle w:val="bParagraphtext"/>
        <w:numPr>
          <w:ilvl w:val="0"/>
          <w:numId w:val="0"/>
        </w:numPr>
        <w:ind w:left="360"/>
      </w:pPr>
    </w:p>
    <w:tbl>
      <w:tblPr>
        <w:tblW w:w="6089" w:type="dxa"/>
        <w:jc w:val="center"/>
        <w:tblInd w:w="-2720" w:type="dxa"/>
        <w:tblLook w:val="04A0" w:firstRow="1" w:lastRow="0" w:firstColumn="1" w:lastColumn="0" w:noHBand="0" w:noVBand="1"/>
      </w:tblPr>
      <w:tblGrid>
        <w:gridCol w:w="3216"/>
        <w:gridCol w:w="2873"/>
      </w:tblGrid>
      <w:tr w:rsidR="00CE08EA" w:rsidRPr="009C4975" w:rsidTr="009C4975">
        <w:trPr>
          <w:trHeight w:val="615"/>
          <w:jc w:val="center"/>
        </w:trPr>
        <w:tc>
          <w:tcPr>
            <w:tcW w:w="32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08EA" w:rsidRPr="009C4975" w:rsidRDefault="0078351E" w:rsidP="00CE08EA">
            <w:pPr>
              <w:spacing w:after="0"/>
              <w:jc w:val="center"/>
              <w:rPr>
                <w:rFonts w:cs="Arial"/>
                <w:b/>
                <w:bCs/>
                <w:sz w:val="22"/>
                <w:szCs w:val="22"/>
              </w:rPr>
            </w:pPr>
            <w:r w:rsidRPr="009C4975">
              <w:rPr>
                <w:rFonts w:cs="Arial"/>
                <w:b/>
                <w:bCs/>
                <w:sz w:val="22"/>
              </w:rPr>
              <w:lastRenderedPageBreak/>
              <w:t xml:space="preserve">First DVLA Vehicle Registration Date </w:t>
            </w:r>
          </w:p>
        </w:tc>
        <w:tc>
          <w:tcPr>
            <w:tcW w:w="2873" w:type="dxa"/>
            <w:tcBorders>
              <w:top w:val="single" w:sz="8" w:space="0" w:color="auto"/>
              <w:left w:val="nil"/>
              <w:bottom w:val="single" w:sz="8" w:space="0" w:color="auto"/>
              <w:right w:val="single" w:sz="8" w:space="0" w:color="auto"/>
            </w:tcBorders>
            <w:shd w:val="clear" w:color="auto" w:fill="auto"/>
            <w:vAlign w:val="center"/>
            <w:hideMark/>
          </w:tcPr>
          <w:p w:rsidR="00CE08EA" w:rsidRPr="009C4975" w:rsidRDefault="00CE08EA" w:rsidP="00CE08EA">
            <w:pPr>
              <w:spacing w:after="0"/>
              <w:jc w:val="center"/>
              <w:rPr>
                <w:rFonts w:cs="Arial"/>
                <w:b/>
                <w:bCs/>
                <w:sz w:val="22"/>
                <w:szCs w:val="22"/>
              </w:rPr>
            </w:pPr>
            <w:r w:rsidRPr="009C4975">
              <w:rPr>
                <w:rFonts w:cs="Arial"/>
                <w:b/>
                <w:bCs/>
                <w:sz w:val="22"/>
              </w:rPr>
              <w:t>Standard assumed</w:t>
            </w:r>
          </w:p>
        </w:tc>
      </w:tr>
      <w:tr w:rsidR="00CE08EA" w:rsidRPr="009C4975" w:rsidTr="009C4975">
        <w:trPr>
          <w:trHeight w:val="315"/>
          <w:jc w:val="center"/>
        </w:trPr>
        <w:tc>
          <w:tcPr>
            <w:tcW w:w="3216" w:type="dxa"/>
            <w:tcBorders>
              <w:top w:val="nil"/>
              <w:left w:val="single" w:sz="8" w:space="0" w:color="auto"/>
              <w:bottom w:val="nil"/>
              <w:right w:val="single" w:sz="8" w:space="0" w:color="auto"/>
            </w:tcBorders>
            <w:shd w:val="clear" w:color="auto" w:fill="auto"/>
            <w:noWrap/>
            <w:vAlign w:val="bottom"/>
            <w:hideMark/>
          </w:tcPr>
          <w:p w:rsidR="00CE08EA" w:rsidRPr="009C4975" w:rsidRDefault="00C027AA" w:rsidP="00C027AA">
            <w:pPr>
              <w:spacing w:after="0"/>
              <w:rPr>
                <w:rFonts w:cs="Arial"/>
                <w:sz w:val="22"/>
                <w:szCs w:val="22"/>
              </w:rPr>
            </w:pPr>
            <w:r>
              <w:rPr>
                <w:rFonts w:cs="Arial"/>
                <w:sz w:val="22"/>
                <w:szCs w:val="22"/>
              </w:rPr>
              <w:t>From 1</w:t>
            </w:r>
            <w:r w:rsidRPr="00C027AA">
              <w:rPr>
                <w:rFonts w:cs="Arial"/>
                <w:sz w:val="22"/>
                <w:szCs w:val="22"/>
                <w:vertAlign w:val="superscript"/>
              </w:rPr>
              <w:t>st</w:t>
            </w:r>
            <w:r>
              <w:rPr>
                <w:rFonts w:cs="Arial"/>
                <w:sz w:val="22"/>
                <w:szCs w:val="22"/>
              </w:rPr>
              <w:t xml:space="preserve"> July </w:t>
            </w:r>
            <w:r w:rsidR="00CE08EA" w:rsidRPr="009C4975">
              <w:rPr>
                <w:rFonts w:cs="Arial"/>
                <w:sz w:val="22"/>
                <w:szCs w:val="22"/>
              </w:rPr>
              <w:t>1992</w:t>
            </w:r>
          </w:p>
        </w:tc>
        <w:tc>
          <w:tcPr>
            <w:tcW w:w="2873" w:type="dxa"/>
            <w:tcBorders>
              <w:top w:val="nil"/>
              <w:left w:val="nil"/>
              <w:bottom w:val="nil"/>
              <w:right w:val="single" w:sz="8" w:space="0" w:color="auto"/>
            </w:tcBorders>
            <w:shd w:val="clear" w:color="auto" w:fill="auto"/>
            <w:noWrap/>
            <w:vAlign w:val="bottom"/>
            <w:hideMark/>
          </w:tcPr>
          <w:p w:rsidR="00CE08EA" w:rsidRPr="009C4975" w:rsidRDefault="00CE08EA" w:rsidP="00CE08EA">
            <w:pPr>
              <w:spacing w:after="0"/>
              <w:rPr>
                <w:rFonts w:cs="Arial"/>
                <w:sz w:val="22"/>
                <w:szCs w:val="22"/>
              </w:rPr>
            </w:pPr>
            <w:r w:rsidRPr="009C4975">
              <w:rPr>
                <w:rFonts w:cs="Arial"/>
                <w:sz w:val="22"/>
                <w:szCs w:val="22"/>
              </w:rPr>
              <w:t>Euro 1</w:t>
            </w:r>
          </w:p>
        </w:tc>
      </w:tr>
      <w:tr w:rsidR="00CE08EA" w:rsidRPr="009C4975" w:rsidTr="009C4975">
        <w:trPr>
          <w:trHeight w:val="315"/>
          <w:jc w:val="center"/>
        </w:trPr>
        <w:tc>
          <w:tcPr>
            <w:tcW w:w="32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08EA" w:rsidRPr="009C4975" w:rsidRDefault="00C027AA" w:rsidP="00C027AA">
            <w:pPr>
              <w:spacing w:after="0"/>
              <w:rPr>
                <w:rFonts w:cs="Arial"/>
                <w:sz w:val="22"/>
                <w:szCs w:val="22"/>
              </w:rPr>
            </w:pPr>
            <w:r>
              <w:rPr>
                <w:rFonts w:cs="Arial"/>
                <w:sz w:val="22"/>
                <w:szCs w:val="22"/>
              </w:rPr>
              <w:t>From 1</w:t>
            </w:r>
            <w:r w:rsidRPr="00C027AA">
              <w:rPr>
                <w:rFonts w:cs="Arial"/>
                <w:sz w:val="22"/>
                <w:szCs w:val="22"/>
                <w:vertAlign w:val="superscript"/>
              </w:rPr>
              <w:t>st</w:t>
            </w:r>
            <w:r>
              <w:rPr>
                <w:rFonts w:cs="Arial"/>
                <w:sz w:val="22"/>
                <w:szCs w:val="22"/>
              </w:rPr>
              <w:t xml:space="preserve"> January </w:t>
            </w:r>
            <w:r w:rsidR="00CE08EA" w:rsidRPr="009C4975">
              <w:rPr>
                <w:rFonts w:cs="Arial"/>
                <w:sz w:val="22"/>
                <w:szCs w:val="22"/>
              </w:rPr>
              <w:t>1996</w:t>
            </w:r>
          </w:p>
        </w:tc>
        <w:tc>
          <w:tcPr>
            <w:tcW w:w="2873" w:type="dxa"/>
            <w:tcBorders>
              <w:top w:val="single" w:sz="8" w:space="0" w:color="auto"/>
              <w:left w:val="nil"/>
              <w:bottom w:val="single" w:sz="8" w:space="0" w:color="auto"/>
              <w:right w:val="single" w:sz="8" w:space="0" w:color="auto"/>
            </w:tcBorders>
            <w:shd w:val="clear" w:color="auto" w:fill="auto"/>
            <w:noWrap/>
            <w:vAlign w:val="bottom"/>
            <w:hideMark/>
          </w:tcPr>
          <w:p w:rsidR="00CE08EA" w:rsidRPr="009C4975" w:rsidRDefault="00CE08EA" w:rsidP="00CE08EA">
            <w:pPr>
              <w:spacing w:after="0"/>
              <w:rPr>
                <w:rFonts w:cs="Arial"/>
                <w:sz w:val="22"/>
                <w:szCs w:val="22"/>
              </w:rPr>
            </w:pPr>
            <w:r w:rsidRPr="009C4975">
              <w:rPr>
                <w:rFonts w:cs="Arial"/>
                <w:sz w:val="22"/>
                <w:szCs w:val="22"/>
              </w:rPr>
              <w:t>Euro 2</w:t>
            </w:r>
          </w:p>
        </w:tc>
      </w:tr>
      <w:tr w:rsidR="00CE08EA" w:rsidRPr="009C4975" w:rsidTr="009C4975">
        <w:trPr>
          <w:trHeight w:val="315"/>
          <w:jc w:val="center"/>
        </w:trPr>
        <w:tc>
          <w:tcPr>
            <w:tcW w:w="3216" w:type="dxa"/>
            <w:tcBorders>
              <w:top w:val="nil"/>
              <w:left w:val="single" w:sz="8" w:space="0" w:color="auto"/>
              <w:bottom w:val="nil"/>
              <w:right w:val="single" w:sz="8" w:space="0" w:color="auto"/>
            </w:tcBorders>
            <w:shd w:val="clear" w:color="auto" w:fill="auto"/>
            <w:noWrap/>
            <w:vAlign w:val="bottom"/>
            <w:hideMark/>
          </w:tcPr>
          <w:p w:rsidR="00CE08EA" w:rsidRPr="009C4975" w:rsidRDefault="00C027AA" w:rsidP="00C027AA">
            <w:pPr>
              <w:spacing w:after="0"/>
              <w:rPr>
                <w:rFonts w:cs="Arial"/>
                <w:sz w:val="22"/>
                <w:szCs w:val="22"/>
              </w:rPr>
            </w:pPr>
            <w:r>
              <w:rPr>
                <w:rFonts w:cs="Arial"/>
                <w:sz w:val="22"/>
                <w:szCs w:val="22"/>
              </w:rPr>
              <w:t>From 1</w:t>
            </w:r>
            <w:r w:rsidRPr="00C027AA">
              <w:rPr>
                <w:rFonts w:cs="Arial"/>
                <w:sz w:val="22"/>
                <w:szCs w:val="22"/>
                <w:vertAlign w:val="superscript"/>
              </w:rPr>
              <w:t>st</w:t>
            </w:r>
            <w:r>
              <w:rPr>
                <w:rFonts w:cs="Arial"/>
                <w:sz w:val="22"/>
                <w:szCs w:val="22"/>
              </w:rPr>
              <w:t xml:space="preserve"> January </w:t>
            </w:r>
            <w:r w:rsidR="00CE08EA" w:rsidRPr="009C4975">
              <w:rPr>
                <w:rFonts w:cs="Arial"/>
                <w:sz w:val="22"/>
                <w:szCs w:val="22"/>
              </w:rPr>
              <w:t>2000</w:t>
            </w:r>
          </w:p>
        </w:tc>
        <w:tc>
          <w:tcPr>
            <w:tcW w:w="2873" w:type="dxa"/>
            <w:tcBorders>
              <w:top w:val="nil"/>
              <w:left w:val="nil"/>
              <w:bottom w:val="nil"/>
              <w:right w:val="single" w:sz="8" w:space="0" w:color="auto"/>
            </w:tcBorders>
            <w:shd w:val="clear" w:color="auto" w:fill="auto"/>
            <w:noWrap/>
            <w:vAlign w:val="bottom"/>
            <w:hideMark/>
          </w:tcPr>
          <w:p w:rsidR="00CE08EA" w:rsidRPr="009C4975" w:rsidRDefault="00CE08EA" w:rsidP="00CE08EA">
            <w:pPr>
              <w:spacing w:after="0"/>
              <w:rPr>
                <w:rFonts w:cs="Arial"/>
                <w:sz w:val="22"/>
                <w:szCs w:val="22"/>
              </w:rPr>
            </w:pPr>
            <w:r w:rsidRPr="009C4975">
              <w:rPr>
                <w:rFonts w:cs="Arial"/>
                <w:sz w:val="22"/>
                <w:szCs w:val="22"/>
              </w:rPr>
              <w:t>Euro 3</w:t>
            </w:r>
          </w:p>
        </w:tc>
      </w:tr>
      <w:tr w:rsidR="00CE08EA" w:rsidRPr="009C4975" w:rsidTr="009C4975">
        <w:trPr>
          <w:trHeight w:val="315"/>
          <w:jc w:val="center"/>
        </w:trPr>
        <w:tc>
          <w:tcPr>
            <w:tcW w:w="32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08EA" w:rsidRPr="009C4975" w:rsidRDefault="00C027AA" w:rsidP="00C027AA">
            <w:pPr>
              <w:spacing w:after="0"/>
              <w:rPr>
                <w:rFonts w:cs="Arial"/>
                <w:sz w:val="22"/>
                <w:szCs w:val="22"/>
              </w:rPr>
            </w:pPr>
            <w:r>
              <w:rPr>
                <w:rFonts w:cs="Arial"/>
                <w:sz w:val="22"/>
                <w:szCs w:val="22"/>
              </w:rPr>
              <w:t>From 1</w:t>
            </w:r>
            <w:r w:rsidRPr="00C027AA">
              <w:rPr>
                <w:rFonts w:cs="Arial"/>
                <w:sz w:val="22"/>
                <w:szCs w:val="22"/>
                <w:vertAlign w:val="superscript"/>
              </w:rPr>
              <w:t>st</w:t>
            </w:r>
            <w:r>
              <w:rPr>
                <w:rFonts w:cs="Arial"/>
                <w:sz w:val="22"/>
                <w:szCs w:val="22"/>
              </w:rPr>
              <w:t xml:space="preserve"> January </w:t>
            </w:r>
            <w:r w:rsidR="00CE08EA" w:rsidRPr="009C4975">
              <w:rPr>
                <w:rFonts w:cs="Arial"/>
                <w:sz w:val="22"/>
                <w:szCs w:val="22"/>
              </w:rPr>
              <w:t>2005</w:t>
            </w:r>
          </w:p>
        </w:tc>
        <w:tc>
          <w:tcPr>
            <w:tcW w:w="2873" w:type="dxa"/>
            <w:tcBorders>
              <w:top w:val="single" w:sz="8" w:space="0" w:color="auto"/>
              <w:left w:val="nil"/>
              <w:bottom w:val="single" w:sz="8" w:space="0" w:color="auto"/>
              <w:right w:val="single" w:sz="8" w:space="0" w:color="auto"/>
            </w:tcBorders>
            <w:shd w:val="clear" w:color="auto" w:fill="auto"/>
            <w:noWrap/>
            <w:vAlign w:val="bottom"/>
            <w:hideMark/>
          </w:tcPr>
          <w:p w:rsidR="00CE08EA" w:rsidRPr="009C4975" w:rsidRDefault="00CE08EA" w:rsidP="00CE08EA">
            <w:pPr>
              <w:spacing w:after="0"/>
              <w:rPr>
                <w:rFonts w:cs="Arial"/>
                <w:sz w:val="22"/>
                <w:szCs w:val="22"/>
              </w:rPr>
            </w:pPr>
            <w:r w:rsidRPr="009C4975">
              <w:rPr>
                <w:rFonts w:cs="Arial"/>
                <w:sz w:val="22"/>
                <w:szCs w:val="22"/>
              </w:rPr>
              <w:t>Euro 4</w:t>
            </w:r>
          </w:p>
        </w:tc>
      </w:tr>
      <w:tr w:rsidR="00CE08EA" w:rsidRPr="009C4975" w:rsidTr="009C4975">
        <w:trPr>
          <w:trHeight w:val="315"/>
          <w:jc w:val="center"/>
        </w:trPr>
        <w:tc>
          <w:tcPr>
            <w:tcW w:w="3216" w:type="dxa"/>
            <w:tcBorders>
              <w:top w:val="nil"/>
              <w:left w:val="single" w:sz="8" w:space="0" w:color="auto"/>
              <w:bottom w:val="nil"/>
              <w:right w:val="single" w:sz="8" w:space="0" w:color="auto"/>
            </w:tcBorders>
            <w:shd w:val="clear" w:color="auto" w:fill="auto"/>
            <w:noWrap/>
            <w:vAlign w:val="bottom"/>
            <w:hideMark/>
          </w:tcPr>
          <w:p w:rsidR="00CE08EA" w:rsidRPr="009C4975" w:rsidRDefault="00C027AA" w:rsidP="00C027AA">
            <w:pPr>
              <w:spacing w:after="0"/>
              <w:rPr>
                <w:rFonts w:cs="Arial"/>
                <w:sz w:val="22"/>
                <w:szCs w:val="22"/>
              </w:rPr>
            </w:pPr>
            <w:r>
              <w:rPr>
                <w:rFonts w:cs="Arial"/>
                <w:sz w:val="22"/>
                <w:szCs w:val="22"/>
              </w:rPr>
              <w:t>From 1</w:t>
            </w:r>
            <w:r w:rsidRPr="00C027AA">
              <w:rPr>
                <w:rFonts w:cs="Arial"/>
                <w:sz w:val="22"/>
                <w:szCs w:val="22"/>
                <w:vertAlign w:val="superscript"/>
              </w:rPr>
              <w:t>st</w:t>
            </w:r>
            <w:r>
              <w:rPr>
                <w:rFonts w:cs="Arial"/>
                <w:sz w:val="22"/>
                <w:szCs w:val="22"/>
              </w:rPr>
              <w:t xml:space="preserve"> September </w:t>
            </w:r>
            <w:r w:rsidR="00CE08EA" w:rsidRPr="009C4975">
              <w:rPr>
                <w:rFonts w:cs="Arial"/>
                <w:sz w:val="22"/>
                <w:szCs w:val="22"/>
              </w:rPr>
              <w:t>2009</w:t>
            </w:r>
          </w:p>
        </w:tc>
        <w:tc>
          <w:tcPr>
            <w:tcW w:w="2873" w:type="dxa"/>
            <w:tcBorders>
              <w:top w:val="nil"/>
              <w:left w:val="nil"/>
              <w:bottom w:val="nil"/>
              <w:right w:val="single" w:sz="8" w:space="0" w:color="auto"/>
            </w:tcBorders>
            <w:shd w:val="clear" w:color="auto" w:fill="auto"/>
            <w:noWrap/>
            <w:vAlign w:val="bottom"/>
            <w:hideMark/>
          </w:tcPr>
          <w:p w:rsidR="00CE08EA" w:rsidRPr="009C4975" w:rsidRDefault="00CE08EA" w:rsidP="00CE08EA">
            <w:pPr>
              <w:spacing w:after="0"/>
              <w:rPr>
                <w:rFonts w:cs="Arial"/>
                <w:sz w:val="22"/>
                <w:szCs w:val="22"/>
              </w:rPr>
            </w:pPr>
            <w:r w:rsidRPr="009C4975">
              <w:rPr>
                <w:rFonts w:cs="Arial"/>
                <w:sz w:val="22"/>
                <w:szCs w:val="22"/>
              </w:rPr>
              <w:t>Euro 5</w:t>
            </w:r>
          </w:p>
        </w:tc>
      </w:tr>
      <w:tr w:rsidR="00CE08EA" w:rsidRPr="000B6116" w:rsidTr="009C4975">
        <w:trPr>
          <w:trHeight w:val="315"/>
          <w:jc w:val="center"/>
        </w:trPr>
        <w:tc>
          <w:tcPr>
            <w:tcW w:w="32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08EA" w:rsidRPr="009C4975" w:rsidRDefault="00C027AA" w:rsidP="00C027AA">
            <w:pPr>
              <w:spacing w:after="0"/>
              <w:rPr>
                <w:rFonts w:cs="Arial"/>
                <w:sz w:val="22"/>
                <w:szCs w:val="22"/>
              </w:rPr>
            </w:pPr>
            <w:r>
              <w:rPr>
                <w:rFonts w:cs="Arial"/>
                <w:sz w:val="22"/>
                <w:szCs w:val="22"/>
              </w:rPr>
              <w:t>From 1</w:t>
            </w:r>
            <w:r w:rsidRPr="00C027AA">
              <w:rPr>
                <w:rFonts w:cs="Arial"/>
                <w:sz w:val="22"/>
                <w:szCs w:val="22"/>
                <w:vertAlign w:val="superscript"/>
              </w:rPr>
              <w:t>st</w:t>
            </w:r>
            <w:r>
              <w:rPr>
                <w:rFonts w:cs="Arial"/>
                <w:sz w:val="22"/>
                <w:szCs w:val="22"/>
              </w:rPr>
              <w:t xml:space="preserve"> September </w:t>
            </w:r>
            <w:r w:rsidR="00CE08EA" w:rsidRPr="009C4975">
              <w:rPr>
                <w:rFonts w:cs="Arial"/>
                <w:sz w:val="22"/>
                <w:szCs w:val="22"/>
              </w:rPr>
              <w:t>2014</w:t>
            </w:r>
          </w:p>
        </w:tc>
        <w:tc>
          <w:tcPr>
            <w:tcW w:w="2873" w:type="dxa"/>
            <w:tcBorders>
              <w:top w:val="single" w:sz="8" w:space="0" w:color="auto"/>
              <w:left w:val="nil"/>
              <w:bottom w:val="single" w:sz="8" w:space="0" w:color="auto"/>
              <w:right w:val="single" w:sz="8" w:space="0" w:color="auto"/>
            </w:tcBorders>
            <w:shd w:val="clear" w:color="auto" w:fill="auto"/>
            <w:noWrap/>
            <w:vAlign w:val="bottom"/>
            <w:hideMark/>
          </w:tcPr>
          <w:p w:rsidR="00CE08EA" w:rsidRPr="009C4975" w:rsidRDefault="00CE08EA" w:rsidP="00CE08EA">
            <w:pPr>
              <w:spacing w:after="0"/>
              <w:rPr>
                <w:rFonts w:cs="Arial"/>
                <w:sz w:val="22"/>
                <w:szCs w:val="22"/>
              </w:rPr>
            </w:pPr>
            <w:r w:rsidRPr="009C4975">
              <w:rPr>
                <w:rFonts w:cs="Arial"/>
                <w:sz w:val="22"/>
                <w:szCs w:val="22"/>
              </w:rPr>
              <w:t>Euro 6</w:t>
            </w:r>
          </w:p>
        </w:tc>
      </w:tr>
    </w:tbl>
    <w:p w:rsidR="00CE08EA" w:rsidRPr="000B6116" w:rsidRDefault="00CE08EA" w:rsidP="00DB7B5D">
      <w:pPr>
        <w:pStyle w:val="bParagraphtext"/>
        <w:numPr>
          <w:ilvl w:val="0"/>
          <w:numId w:val="0"/>
        </w:numPr>
        <w:rPr>
          <w:highlight w:val="yellow"/>
        </w:rPr>
      </w:pPr>
    </w:p>
    <w:p w:rsidR="009C4975" w:rsidRDefault="00DB7B5D" w:rsidP="002362AD">
      <w:pPr>
        <w:pStyle w:val="bParagraphtext"/>
        <w:spacing w:after="0"/>
        <w:ind w:left="360" w:hanging="502"/>
      </w:pPr>
      <w:r w:rsidRPr="009C4975">
        <w:t>A vehicle will be considered to meet the Ultra Low Emissions Vehicle standard if</w:t>
      </w:r>
      <w:r w:rsidR="0078351E" w:rsidRPr="009C4975">
        <w:t xml:space="preserve"> it </w:t>
      </w:r>
      <w:r w:rsidR="00C027AA">
        <w:t>meets</w:t>
      </w:r>
      <w:r w:rsidR="0078351E" w:rsidRPr="009C4975">
        <w:t xml:space="preserve"> the </w:t>
      </w:r>
      <w:r w:rsidR="00C027AA">
        <w:t xml:space="preserve">UK </w:t>
      </w:r>
      <w:r w:rsidR="00186DD3" w:rsidRPr="009C4975">
        <w:t>government</w:t>
      </w:r>
      <w:r w:rsidR="00C027AA">
        <w:t>’s</w:t>
      </w:r>
      <w:r w:rsidR="00186DD3" w:rsidRPr="009C4975">
        <w:t xml:space="preserve"> definition of</w:t>
      </w:r>
      <w:r w:rsidR="00C027AA">
        <w:t xml:space="preserve"> an Ultra Low Emission Taxi</w:t>
      </w:r>
      <w:r w:rsidR="00186DD3" w:rsidRPr="009C4975">
        <w:t xml:space="preserve"> (as of November 2018)</w:t>
      </w:r>
      <w:r w:rsidR="009C4975">
        <w:t xml:space="preserve"> </w:t>
      </w:r>
      <w:r w:rsidR="00186DD3" w:rsidRPr="009C4975">
        <w:t>“</w:t>
      </w:r>
      <w:r w:rsidR="00C027AA">
        <w:t>Taxis - These vehicles are purpose-built taxis and have CO2 emissions of less than 50g/km and can travel at least 112km (70 miles) without any emissions at all</w:t>
      </w:r>
      <w:r w:rsidR="00186DD3" w:rsidRPr="009C4975">
        <w:t>.</w:t>
      </w:r>
      <w:r w:rsidR="009C4975">
        <w:t>”</w:t>
      </w:r>
      <w:r w:rsidR="00186DD3" w:rsidRPr="00CA27AE">
        <w:rPr>
          <w:vertAlign w:val="superscript"/>
        </w:rPr>
        <w:footnoteReference w:id="2"/>
      </w:r>
      <w:r w:rsidR="009C4975">
        <w:t xml:space="preserve"> </w:t>
      </w:r>
    </w:p>
    <w:p w:rsidR="002362AD" w:rsidRDefault="002362AD" w:rsidP="002362AD">
      <w:pPr>
        <w:pStyle w:val="bParagraphtext"/>
        <w:numPr>
          <w:ilvl w:val="0"/>
          <w:numId w:val="0"/>
        </w:numPr>
        <w:spacing w:after="0"/>
        <w:ind w:left="360"/>
      </w:pPr>
    </w:p>
    <w:p w:rsidR="00DB7B5D" w:rsidRDefault="00DB7B5D" w:rsidP="002362AD">
      <w:pPr>
        <w:pStyle w:val="bParagraphtext"/>
        <w:spacing w:after="0"/>
        <w:ind w:left="360" w:hanging="502"/>
      </w:pPr>
      <w:r w:rsidRPr="009C4975">
        <w:t xml:space="preserve">Any applicant who believes that their vehicle meets a higher emissions standard than indicated by the requirements, as set out </w:t>
      </w:r>
      <w:r w:rsidR="009C4975">
        <w:t xml:space="preserve">in the table </w:t>
      </w:r>
      <w:r w:rsidRPr="009C4975">
        <w:t>above, may submit evidence to the Council. Where reasonable evidence is provided, officers may agree the appropriate emissions standard for that vehicle</w:t>
      </w:r>
      <w:r w:rsidR="00AB35A8">
        <w:t xml:space="preserve"> and issue a licence</w:t>
      </w:r>
      <w:r w:rsidRPr="009C4975">
        <w:t>.</w:t>
      </w:r>
    </w:p>
    <w:p w:rsidR="002362AD" w:rsidRPr="009C4975" w:rsidRDefault="002362AD" w:rsidP="002362AD">
      <w:pPr>
        <w:pStyle w:val="ListParagraph"/>
        <w:numPr>
          <w:ilvl w:val="0"/>
          <w:numId w:val="0"/>
        </w:numPr>
        <w:spacing w:after="0"/>
        <w:ind w:left="786"/>
      </w:pPr>
    </w:p>
    <w:p w:rsidR="003A3D3C" w:rsidRDefault="003A3D3C" w:rsidP="002362AD">
      <w:pPr>
        <w:pStyle w:val="bParagraphtext"/>
        <w:numPr>
          <w:ilvl w:val="0"/>
          <w:numId w:val="0"/>
        </w:numPr>
        <w:spacing w:after="0"/>
        <w:rPr>
          <w:b/>
        </w:rPr>
      </w:pPr>
      <w:r>
        <w:rPr>
          <w:b/>
        </w:rPr>
        <w:t>Amend</w:t>
      </w:r>
      <w:r w:rsidR="00FD05D4">
        <w:rPr>
          <w:b/>
        </w:rPr>
        <w:t>ment of</w:t>
      </w:r>
      <w:r>
        <w:rPr>
          <w:b/>
        </w:rPr>
        <w:t xml:space="preserve"> vehicle age limit for </w:t>
      </w:r>
      <w:r w:rsidR="007816E4">
        <w:rPr>
          <w:b/>
        </w:rPr>
        <w:t xml:space="preserve">first </w:t>
      </w:r>
      <w:r>
        <w:rPr>
          <w:b/>
        </w:rPr>
        <w:t xml:space="preserve">licensing of new </w:t>
      </w:r>
      <w:r w:rsidR="00FD05D4">
        <w:rPr>
          <w:b/>
        </w:rPr>
        <w:t xml:space="preserve">Low </w:t>
      </w:r>
      <w:r w:rsidR="00DD065E">
        <w:rPr>
          <w:b/>
        </w:rPr>
        <w:t xml:space="preserve">and Ultra Low </w:t>
      </w:r>
      <w:r w:rsidR="00FD05D4">
        <w:rPr>
          <w:b/>
        </w:rPr>
        <w:t xml:space="preserve">Emission </w:t>
      </w:r>
      <w:r>
        <w:rPr>
          <w:b/>
        </w:rPr>
        <w:t>Private Hire Vehicles</w:t>
      </w:r>
    </w:p>
    <w:p w:rsidR="002362AD" w:rsidRPr="003A3D3C" w:rsidRDefault="002362AD" w:rsidP="002362AD">
      <w:pPr>
        <w:pStyle w:val="bParagraphtext"/>
        <w:numPr>
          <w:ilvl w:val="0"/>
          <w:numId w:val="0"/>
        </w:numPr>
        <w:spacing w:after="0"/>
        <w:rPr>
          <w:b/>
        </w:rPr>
      </w:pPr>
    </w:p>
    <w:p w:rsidR="00FD05D4" w:rsidRDefault="00FD05D4" w:rsidP="002362AD">
      <w:pPr>
        <w:pStyle w:val="bParagraphtext"/>
        <w:spacing w:after="0"/>
        <w:ind w:left="360" w:hanging="502"/>
      </w:pPr>
      <w:r>
        <w:t>Oxford City Council licensed Private Hire fleet is currently considerably younger and less polluting than licensed Hackney Carriage fleet. However, the Authority</w:t>
      </w:r>
      <w:r w:rsidR="007816E4">
        <w:t xml:space="preserve"> desires to</w:t>
      </w:r>
      <w:r>
        <w:t xml:space="preserve"> </w:t>
      </w:r>
      <w:r w:rsidR="007816E4">
        <w:t xml:space="preserve">further </w:t>
      </w:r>
      <w:r>
        <w:t>encourage licensed Private Hire trade in supporting the Council vision in improving the air quality</w:t>
      </w:r>
      <w:r w:rsidR="007816E4">
        <w:t>.</w:t>
      </w:r>
    </w:p>
    <w:p w:rsidR="002362AD" w:rsidRDefault="002362AD" w:rsidP="002362AD">
      <w:pPr>
        <w:pStyle w:val="bParagraphtext"/>
        <w:numPr>
          <w:ilvl w:val="0"/>
          <w:numId w:val="0"/>
        </w:numPr>
        <w:spacing w:after="0"/>
        <w:ind w:left="360"/>
      </w:pPr>
    </w:p>
    <w:p w:rsidR="000C11F7" w:rsidRDefault="00141C14" w:rsidP="002362AD">
      <w:pPr>
        <w:pStyle w:val="bParagraphtext"/>
        <w:spacing w:after="0"/>
        <w:ind w:left="360" w:hanging="502"/>
      </w:pPr>
      <w:r>
        <w:t>Current licensing age limit criteria for all new Private Hire Vehicles to obtain</w:t>
      </w:r>
      <w:r w:rsidR="00772A69">
        <w:t xml:space="preserve"> a</w:t>
      </w:r>
      <w:r>
        <w:t xml:space="preserve"> licence are</w:t>
      </w:r>
      <w:r w:rsidRPr="00CA27AE">
        <w:t xml:space="preserve"> </w:t>
      </w:r>
      <w:r w:rsidRPr="00CA27AE">
        <w:rPr>
          <w:i/>
        </w:rPr>
        <w:t>“The maximum age for a new vehicle to obtain a licence is “less than five years of age” when it is licensed”.</w:t>
      </w:r>
      <w:r w:rsidRPr="00CA27AE">
        <w:t xml:space="preserve"> </w:t>
      </w:r>
    </w:p>
    <w:p w:rsidR="002362AD" w:rsidRPr="000C11F7" w:rsidRDefault="002362AD" w:rsidP="002362AD">
      <w:pPr>
        <w:pStyle w:val="ListParagraph"/>
        <w:numPr>
          <w:ilvl w:val="0"/>
          <w:numId w:val="0"/>
        </w:numPr>
        <w:spacing w:after="0"/>
        <w:ind w:left="786"/>
      </w:pPr>
    </w:p>
    <w:p w:rsidR="000C11F7" w:rsidRPr="00AB35A8" w:rsidRDefault="00141C14" w:rsidP="002362AD">
      <w:pPr>
        <w:pStyle w:val="bParagraphtext"/>
        <w:spacing w:after="0"/>
        <w:ind w:left="360" w:hanging="502"/>
        <w:rPr>
          <w:i/>
        </w:rPr>
      </w:pPr>
      <w:r w:rsidRPr="00CA27AE">
        <w:t xml:space="preserve">To support the trade further in investing and switching to Low </w:t>
      </w:r>
      <w:r w:rsidR="00DD065E" w:rsidRPr="00CA27AE">
        <w:t xml:space="preserve">and Ultra Low </w:t>
      </w:r>
      <w:r w:rsidRPr="00CA27AE">
        <w:t xml:space="preserve">Emission Vehicles it is proposed to amend the </w:t>
      </w:r>
      <w:r w:rsidR="00172C97" w:rsidRPr="00CA27AE">
        <w:t xml:space="preserve">current </w:t>
      </w:r>
      <w:r w:rsidRPr="00CA27AE">
        <w:t xml:space="preserve">criteria to the following </w:t>
      </w:r>
      <w:r w:rsidRPr="002362AD">
        <w:rPr>
          <w:i/>
        </w:rPr>
        <w:t xml:space="preserve">“The maximum age for a new </w:t>
      </w:r>
      <w:r w:rsidR="00C700FC" w:rsidRPr="002362AD">
        <w:rPr>
          <w:i/>
        </w:rPr>
        <w:t>Private Hire V</w:t>
      </w:r>
      <w:r w:rsidRPr="002362AD">
        <w:rPr>
          <w:i/>
        </w:rPr>
        <w:t>ehicle to obtain a license is “</w:t>
      </w:r>
      <w:r w:rsidR="00C700FC" w:rsidRPr="002362AD">
        <w:rPr>
          <w:i/>
        </w:rPr>
        <w:t xml:space="preserve">less than five </w:t>
      </w:r>
      <w:r w:rsidR="00C700FC" w:rsidRPr="00AB35A8">
        <w:rPr>
          <w:i/>
        </w:rPr>
        <w:t>years of age” or</w:t>
      </w:r>
      <w:r w:rsidRPr="00AB35A8">
        <w:rPr>
          <w:i/>
        </w:rPr>
        <w:t xml:space="preserve"> “less than seven years of age for </w:t>
      </w:r>
      <w:r w:rsidR="00286C52" w:rsidRPr="00AB35A8">
        <w:rPr>
          <w:i/>
        </w:rPr>
        <w:t>Alternative Fuel Type Vehicles (</w:t>
      </w:r>
      <w:r w:rsidR="004C1DAA" w:rsidRPr="00AB35A8">
        <w:rPr>
          <w:i/>
        </w:rPr>
        <w:t>Tax Code</w:t>
      </w:r>
      <w:r w:rsidR="00286C52" w:rsidRPr="00AB35A8">
        <w:rPr>
          <w:i/>
        </w:rPr>
        <w:t xml:space="preserve"> TC59 definition)</w:t>
      </w:r>
      <w:r w:rsidR="00A40CC6" w:rsidRPr="00AB35A8">
        <w:rPr>
          <w:i/>
        </w:rPr>
        <w:t>,</w:t>
      </w:r>
      <w:r w:rsidR="00286C52" w:rsidRPr="00AB35A8">
        <w:rPr>
          <w:i/>
        </w:rPr>
        <w:t xml:space="preserve"> OR petrol vehicles </w:t>
      </w:r>
      <w:r w:rsidR="004C1DAA" w:rsidRPr="00AB35A8">
        <w:rPr>
          <w:i/>
        </w:rPr>
        <w:t xml:space="preserve">(TC 48 definition) </w:t>
      </w:r>
      <w:r w:rsidR="00286C52" w:rsidRPr="00AB35A8">
        <w:rPr>
          <w:i/>
        </w:rPr>
        <w:t xml:space="preserve">OR diesel vehicles </w:t>
      </w:r>
      <w:r w:rsidR="004C1DAA" w:rsidRPr="00AB35A8">
        <w:rPr>
          <w:i/>
        </w:rPr>
        <w:t xml:space="preserve">(TC 49 definition AND </w:t>
      </w:r>
      <w:r w:rsidR="00286C52" w:rsidRPr="00AB35A8">
        <w:rPr>
          <w:i/>
        </w:rPr>
        <w:t>meeting the RDE2</w:t>
      </w:r>
      <w:r w:rsidR="004C1DAA" w:rsidRPr="00AB35A8">
        <w:rPr>
          <w:i/>
        </w:rPr>
        <w:t xml:space="preserve"> standard)</w:t>
      </w:r>
      <w:r w:rsidR="000A3CD0" w:rsidRPr="00AB35A8">
        <w:rPr>
          <w:i/>
        </w:rPr>
        <w:t>, that</w:t>
      </w:r>
      <w:r w:rsidR="000C11F7" w:rsidRPr="00AB35A8">
        <w:rPr>
          <w:i/>
        </w:rPr>
        <w:t xml:space="preserve"> </w:t>
      </w:r>
      <w:r w:rsidR="004C1DAA" w:rsidRPr="00AB35A8">
        <w:rPr>
          <w:i/>
        </w:rPr>
        <w:t xml:space="preserve">also </w:t>
      </w:r>
      <w:r w:rsidR="000C11F7" w:rsidRPr="00AB35A8">
        <w:rPr>
          <w:i/>
        </w:rPr>
        <w:t>produc</w:t>
      </w:r>
      <w:r w:rsidR="000A3CD0" w:rsidRPr="00AB35A8">
        <w:rPr>
          <w:i/>
        </w:rPr>
        <w:t>e</w:t>
      </w:r>
      <w:r w:rsidR="000C11F7" w:rsidRPr="00AB35A8">
        <w:rPr>
          <w:i/>
        </w:rPr>
        <w:t xml:space="preserve"> CO2 emission figures of 110g/km or less as displayed in the DVLA V5 Vehicle Registration Certificate.</w:t>
      </w:r>
      <w:r w:rsidR="00286C52" w:rsidRPr="00AB35A8">
        <w:rPr>
          <w:i/>
        </w:rPr>
        <w:t>”</w:t>
      </w:r>
    </w:p>
    <w:p w:rsidR="002362AD" w:rsidRPr="002362AD" w:rsidRDefault="002362AD" w:rsidP="002362AD">
      <w:pPr>
        <w:spacing w:after="0"/>
        <w:ind w:left="786" w:hanging="360"/>
        <w:rPr>
          <w:i/>
        </w:rPr>
      </w:pPr>
    </w:p>
    <w:p w:rsidR="003B28DF" w:rsidRDefault="003B28DF" w:rsidP="002362AD">
      <w:pPr>
        <w:pStyle w:val="Heading1"/>
        <w:spacing w:before="0" w:after="0"/>
      </w:pPr>
      <w:r w:rsidRPr="001356F1">
        <w:t>Financial implications</w:t>
      </w:r>
    </w:p>
    <w:p w:rsidR="002362AD" w:rsidRPr="002362AD" w:rsidRDefault="002362AD" w:rsidP="002362AD">
      <w:pPr>
        <w:spacing w:after="0"/>
      </w:pPr>
    </w:p>
    <w:p w:rsidR="002362AD" w:rsidRDefault="003B28DF" w:rsidP="002362AD">
      <w:pPr>
        <w:pStyle w:val="bParagraphtext"/>
        <w:spacing w:after="0"/>
        <w:ind w:left="360" w:hanging="502"/>
      </w:pPr>
      <w:r w:rsidRPr="00BD6F79">
        <w:t>A study of local Hackney Carriage duty cycles</w:t>
      </w:r>
      <w:r w:rsidR="00BD6F79">
        <w:t xml:space="preserve"> was carried out. The study modelled</w:t>
      </w:r>
      <w:r w:rsidRPr="00BD6F79">
        <w:t xml:space="preserve"> the payback on investment</w:t>
      </w:r>
      <w:r w:rsidR="00BD6F79">
        <w:t>s</w:t>
      </w:r>
      <w:r w:rsidRPr="00BD6F79">
        <w:t xml:space="preserve"> in ultra-low emissions purpose-built taxis</w:t>
      </w:r>
      <w:r w:rsidR="00BD6F79">
        <w:t>. It showed</w:t>
      </w:r>
      <w:r w:rsidRPr="00BD6F79">
        <w:t xml:space="preserve"> that ultra-low emissions purpose-built taxis, </w:t>
      </w:r>
      <w:r w:rsidR="00BD6F79">
        <w:t>including</w:t>
      </w:r>
      <w:r w:rsidRPr="00BD6F79">
        <w:t xml:space="preserve"> the LEVC eTX and the Dynamo</w:t>
      </w:r>
      <w:r w:rsidR="00BD6F79">
        <w:t xml:space="preserve"> models</w:t>
      </w:r>
      <w:r w:rsidRPr="00BD6F79">
        <w:t>, are a viable investment in Oxford due to the lower running costs compared to conventional vehicles</w:t>
      </w:r>
      <w:r w:rsidR="00E20AA7" w:rsidRPr="00BD6F79">
        <w:t xml:space="preserve">. This is particularly pronounced for the Dynamo, </w:t>
      </w:r>
      <w:r w:rsidR="00E20AA7" w:rsidRPr="00BD6F79">
        <w:lastRenderedPageBreak/>
        <w:t>wh</w:t>
      </w:r>
      <w:r w:rsidR="00BD6F79">
        <w:t>ich c</w:t>
      </w:r>
      <w:r w:rsidR="00E20AA7" w:rsidRPr="00BD6F79">
        <w:t>ould generate a saving of £19</w:t>
      </w:r>
      <w:r w:rsidR="00BD6F79">
        <w:t>,</w:t>
      </w:r>
      <w:r w:rsidR="00E20AA7" w:rsidRPr="00BD6F79">
        <w:t>000 over 6 years of ownership at an average mileage of 25</w:t>
      </w:r>
      <w:r w:rsidR="00BD6F79">
        <w:t>,</w:t>
      </w:r>
      <w:r w:rsidR="00E20AA7" w:rsidRPr="00BD6F79">
        <w:t>000 per year</w:t>
      </w:r>
      <w:r w:rsidR="00820F04" w:rsidRPr="00BD6F79">
        <w:t>.</w:t>
      </w:r>
      <w:r w:rsidR="00E20AA7" w:rsidRPr="00BD6F79">
        <w:t xml:space="preserve"> In comparison the LEVC eT</w:t>
      </w:r>
      <w:r w:rsidR="00BD6F79">
        <w:t>X could generate a saving of £1,</w:t>
      </w:r>
      <w:r w:rsidR="00E20AA7" w:rsidRPr="00BD6F79">
        <w:t xml:space="preserve">500 </w:t>
      </w:r>
      <w:r w:rsidR="00820F04" w:rsidRPr="00BD6F79">
        <w:t>after six years based on the same mileage</w:t>
      </w:r>
      <w:r w:rsidR="00E20AA7" w:rsidRPr="00BD6F79">
        <w:t xml:space="preserve">. </w:t>
      </w:r>
    </w:p>
    <w:p w:rsidR="003B28DF" w:rsidRPr="00BD6F79" w:rsidRDefault="003B28DF" w:rsidP="002362AD">
      <w:pPr>
        <w:pStyle w:val="bParagraphtext"/>
        <w:numPr>
          <w:ilvl w:val="0"/>
          <w:numId w:val="0"/>
        </w:numPr>
        <w:spacing w:after="0"/>
        <w:ind w:left="360"/>
      </w:pPr>
      <w:r w:rsidRPr="00BD6F79">
        <w:t xml:space="preserve"> </w:t>
      </w:r>
    </w:p>
    <w:p w:rsidR="003B28DF" w:rsidRDefault="003B28DF" w:rsidP="002362AD">
      <w:pPr>
        <w:pStyle w:val="bParagraphtext"/>
        <w:spacing w:after="0"/>
        <w:ind w:left="360" w:hanging="502"/>
      </w:pPr>
      <w:r>
        <w:t>Access to capital may be a challenge for potential investors in the vehicles and is a key concern for the trade. The council has committed to subsidising the Certificate of Compliance test and Licensing Application fees for the first ten “early adopters” to invest in and license an ultra-low emissions Hackney Carriage Vehicle in Oxford.</w:t>
      </w:r>
    </w:p>
    <w:p w:rsidR="002362AD" w:rsidRDefault="002362AD" w:rsidP="002362AD">
      <w:pPr>
        <w:ind w:left="786" w:hanging="360"/>
      </w:pPr>
    </w:p>
    <w:p w:rsidR="002362AD" w:rsidRDefault="003B28DF" w:rsidP="002362AD">
      <w:pPr>
        <w:pStyle w:val="bParagraphtext"/>
        <w:spacing w:after="0"/>
        <w:ind w:left="360" w:hanging="502"/>
      </w:pPr>
      <w:r>
        <w:t xml:space="preserve">It is expected that over the </w:t>
      </w:r>
      <w:r w:rsidR="00BD6F79">
        <w:t xml:space="preserve">five year </w:t>
      </w:r>
      <w:r>
        <w:t>period of transition to the ULEV standard</w:t>
      </w:r>
      <w:r w:rsidR="00BD6F79">
        <w:t xml:space="preserve"> that the cost of new vehicles and models will become more affordable and</w:t>
      </w:r>
      <w:r>
        <w:t xml:space="preserve"> that a second hand market will develop. As above, </w:t>
      </w:r>
      <w:r w:rsidRPr="00CA27AE">
        <w:t>the Council continues to actively explore other sources of finance and support for the local trade.</w:t>
      </w:r>
    </w:p>
    <w:p w:rsidR="002362AD" w:rsidRDefault="002362AD" w:rsidP="002362AD">
      <w:pPr>
        <w:pStyle w:val="ListParagraph"/>
        <w:numPr>
          <w:ilvl w:val="0"/>
          <w:numId w:val="0"/>
        </w:numPr>
        <w:spacing w:after="0"/>
        <w:ind w:left="786"/>
      </w:pPr>
    </w:p>
    <w:p w:rsidR="0040736F" w:rsidRDefault="00DA614B" w:rsidP="002362AD">
      <w:pPr>
        <w:pStyle w:val="Heading1"/>
        <w:spacing w:before="0" w:after="0"/>
      </w:pPr>
      <w:r w:rsidRPr="001356F1">
        <w:t>Legal issues</w:t>
      </w:r>
    </w:p>
    <w:p w:rsidR="002362AD" w:rsidRPr="002362AD" w:rsidRDefault="002362AD" w:rsidP="002362AD">
      <w:pPr>
        <w:spacing w:after="0"/>
      </w:pPr>
    </w:p>
    <w:p w:rsidR="00E87F7A" w:rsidRPr="002362AD" w:rsidRDefault="00772A69" w:rsidP="002362AD">
      <w:pPr>
        <w:pStyle w:val="bParagraphtext"/>
        <w:spacing w:after="0"/>
        <w:ind w:left="360" w:hanging="502"/>
      </w:pPr>
      <w:r>
        <w:t>In</w:t>
      </w:r>
      <w:r w:rsidR="003131DD">
        <w:t xml:space="preserve"> </w:t>
      </w:r>
      <w:r>
        <w:t xml:space="preserve">order to be enforceable the application of new emission standards and amendment of age limits would require the attachment of additional conditions to vehicles licences. The </w:t>
      </w:r>
      <w:r w:rsidRPr="00DA6D6B">
        <w:rPr>
          <w:rFonts w:cs="Arial"/>
        </w:rPr>
        <w:t>Local Government (Miscellaneous Provisions) Act 1976 at sections 47</w:t>
      </w:r>
      <w:r>
        <w:rPr>
          <w:rFonts w:cs="Arial"/>
        </w:rPr>
        <w:t>,</w:t>
      </w:r>
      <w:r w:rsidRPr="00DA6D6B">
        <w:rPr>
          <w:rFonts w:cs="Arial"/>
        </w:rPr>
        <w:t xml:space="preserve"> 48 </w:t>
      </w:r>
      <w:r>
        <w:rPr>
          <w:rFonts w:cs="Arial"/>
        </w:rPr>
        <w:t xml:space="preserve">and 51 </w:t>
      </w:r>
      <w:r w:rsidRPr="00DA6D6B">
        <w:rPr>
          <w:rFonts w:cs="Arial"/>
        </w:rPr>
        <w:t xml:space="preserve">allows the </w:t>
      </w:r>
      <w:r>
        <w:rPr>
          <w:rFonts w:cs="Arial"/>
        </w:rPr>
        <w:t>L</w:t>
      </w:r>
      <w:r w:rsidRPr="00DA6D6B">
        <w:rPr>
          <w:rFonts w:cs="Arial"/>
        </w:rPr>
        <w:t xml:space="preserve">icensing </w:t>
      </w:r>
      <w:r>
        <w:rPr>
          <w:rFonts w:cs="Arial"/>
        </w:rPr>
        <w:t>A</w:t>
      </w:r>
      <w:r w:rsidRPr="00DA6D6B">
        <w:rPr>
          <w:rFonts w:cs="Arial"/>
        </w:rPr>
        <w:t>uthority to attach to vehicle</w:t>
      </w:r>
      <w:r>
        <w:rPr>
          <w:rFonts w:cs="Arial"/>
        </w:rPr>
        <w:t xml:space="preserve"> </w:t>
      </w:r>
      <w:r w:rsidRPr="00DA6D6B">
        <w:rPr>
          <w:rFonts w:cs="Arial"/>
        </w:rPr>
        <w:t xml:space="preserve">licences such conditions as it considers </w:t>
      </w:r>
      <w:r>
        <w:rPr>
          <w:rFonts w:cs="Arial"/>
        </w:rPr>
        <w:t>‘</w:t>
      </w:r>
      <w:r w:rsidRPr="00DA6D6B">
        <w:rPr>
          <w:rFonts w:cs="Arial"/>
        </w:rPr>
        <w:t>reasonably necessary</w:t>
      </w:r>
      <w:r>
        <w:rPr>
          <w:rFonts w:cs="Arial"/>
        </w:rPr>
        <w:t>’</w:t>
      </w:r>
      <w:r w:rsidRPr="00DA6D6B">
        <w:rPr>
          <w:rFonts w:cs="Arial"/>
        </w:rPr>
        <w:t xml:space="preserve">. </w:t>
      </w:r>
      <w:r>
        <w:rPr>
          <w:rFonts w:cs="Arial"/>
        </w:rPr>
        <w:t>Improving standards in vehicle safety and air quality are relevant factors in this respect.</w:t>
      </w:r>
    </w:p>
    <w:p w:rsidR="002362AD" w:rsidRPr="00772A69" w:rsidRDefault="002362AD" w:rsidP="002362AD">
      <w:pPr>
        <w:pStyle w:val="bParagraphtext"/>
        <w:numPr>
          <w:ilvl w:val="0"/>
          <w:numId w:val="0"/>
        </w:numPr>
        <w:spacing w:after="0"/>
        <w:ind w:left="360"/>
      </w:pPr>
    </w:p>
    <w:p w:rsidR="00772A69" w:rsidRPr="00772A69" w:rsidRDefault="00772A69" w:rsidP="002362AD">
      <w:pPr>
        <w:pStyle w:val="bParagraphtext"/>
        <w:ind w:left="360" w:hanging="502"/>
      </w:pPr>
      <w:r w:rsidRPr="00772A69">
        <w:t>Improving air quality is in the interests of all persons and therefore no separate equalities assessment is considered necessary.</w:t>
      </w:r>
    </w:p>
    <w:p w:rsidR="002329CF" w:rsidRPr="00CA27AE" w:rsidRDefault="002329CF" w:rsidP="004A6D2F">
      <w:pPr>
        <w:rPr>
          <w:sz w:val="16"/>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365504" w:rsidP="00A46E98">
            <w:r>
              <w:t xml:space="preserve">Anna </w:t>
            </w:r>
            <w:proofErr w:type="spellStart"/>
            <w:r>
              <w:t>Dumitru</w:t>
            </w:r>
            <w:proofErr w:type="spellEnd"/>
          </w:p>
        </w:tc>
      </w:tr>
      <w:tr w:rsidR="00BC75F4"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BC75F4" w:rsidRPr="001356F1" w:rsidRDefault="00BC75F4"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BC75F4" w:rsidRPr="001356F1" w:rsidRDefault="00365504" w:rsidP="000C11F7">
            <w:r>
              <w:t>General Licensing Team Leader</w:t>
            </w:r>
          </w:p>
        </w:tc>
      </w:tr>
      <w:tr w:rsidR="00BC75F4" w:rsidRPr="001356F1" w:rsidTr="00A46E98">
        <w:trPr>
          <w:cantSplit/>
          <w:trHeight w:val="396"/>
        </w:trPr>
        <w:tc>
          <w:tcPr>
            <w:tcW w:w="3969" w:type="dxa"/>
            <w:tcBorders>
              <w:top w:val="nil"/>
              <w:left w:val="single" w:sz="8" w:space="0" w:color="000000"/>
              <w:bottom w:val="nil"/>
              <w:right w:val="nil"/>
            </w:tcBorders>
            <w:shd w:val="clear" w:color="auto" w:fill="auto"/>
          </w:tcPr>
          <w:p w:rsidR="00BC75F4" w:rsidRPr="001356F1" w:rsidRDefault="00BC75F4" w:rsidP="00A46E98">
            <w:r w:rsidRPr="001356F1">
              <w:t>Service area or department</w:t>
            </w:r>
          </w:p>
        </w:tc>
        <w:tc>
          <w:tcPr>
            <w:tcW w:w="4962" w:type="dxa"/>
            <w:tcBorders>
              <w:top w:val="nil"/>
              <w:left w:val="nil"/>
              <w:bottom w:val="nil"/>
              <w:right w:val="single" w:sz="8" w:space="0" w:color="000000"/>
            </w:tcBorders>
            <w:shd w:val="clear" w:color="auto" w:fill="auto"/>
          </w:tcPr>
          <w:p w:rsidR="00BC75F4" w:rsidRPr="001356F1" w:rsidRDefault="00BC75F4" w:rsidP="000C11F7">
            <w:r>
              <w:t>Community</w:t>
            </w:r>
            <w:r w:rsidR="00365504">
              <w:t xml:space="preserve"> Services</w:t>
            </w:r>
          </w:p>
        </w:tc>
      </w:tr>
      <w:tr w:rsidR="00BC75F4" w:rsidRPr="001356F1" w:rsidTr="00A46E98">
        <w:trPr>
          <w:cantSplit/>
          <w:trHeight w:val="396"/>
        </w:trPr>
        <w:tc>
          <w:tcPr>
            <w:tcW w:w="3969" w:type="dxa"/>
            <w:tcBorders>
              <w:top w:val="nil"/>
              <w:left w:val="single" w:sz="8" w:space="0" w:color="000000"/>
              <w:bottom w:val="nil"/>
              <w:right w:val="nil"/>
            </w:tcBorders>
            <w:shd w:val="clear" w:color="auto" w:fill="auto"/>
          </w:tcPr>
          <w:p w:rsidR="00BC75F4" w:rsidRPr="001356F1" w:rsidRDefault="00BC75F4" w:rsidP="00A46E98">
            <w:r w:rsidRPr="001356F1">
              <w:t xml:space="preserve">Telephone </w:t>
            </w:r>
          </w:p>
        </w:tc>
        <w:tc>
          <w:tcPr>
            <w:tcW w:w="4962" w:type="dxa"/>
            <w:tcBorders>
              <w:top w:val="nil"/>
              <w:left w:val="nil"/>
              <w:bottom w:val="nil"/>
              <w:right w:val="single" w:sz="8" w:space="0" w:color="000000"/>
            </w:tcBorders>
            <w:shd w:val="clear" w:color="auto" w:fill="auto"/>
          </w:tcPr>
          <w:p w:rsidR="00BC75F4" w:rsidRPr="001356F1" w:rsidRDefault="00BC75F4" w:rsidP="00365504">
            <w:r w:rsidRPr="001356F1">
              <w:t xml:space="preserve">01865 </w:t>
            </w:r>
            <w:r>
              <w:t>252</w:t>
            </w:r>
            <w:r w:rsidR="00365504">
              <w:t>565</w:t>
            </w:r>
          </w:p>
        </w:tc>
      </w:tr>
      <w:tr w:rsidR="00BC75F4"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BC75F4" w:rsidRPr="001356F1" w:rsidRDefault="00BC75F4"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BC75F4" w:rsidRPr="001356F1" w:rsidRDefault="00FF41A8" w:rsidP="00365504">
            <w:pPr>
              <w:rPr>
                <w:rStyle w:val="Hyperlink"/>
                <w:color w:val="000000"/>
              </w:rPr>
            </w:pPr>
            <w:hyperlink r:id="rId9" w:history="1">
              <w:r w:rsidR="00436C94" w:rsidRPr="00C35532">
                <w:rPr>
                  <w:rStyle w:val="Hyperlink"/>
                </w:rPr>
                <w:t>adumitru@oxford.gov.uk</w:t>
              </w:r>
            </w:hyperlink>
            <w:r w:rsidR="00436C94">
              <w:t xml:space="preserve"> </w:t>
            </w:r>
            <w:r w:rsidR="00BC75F4">
              <w:rPr>
                <w:rStyle w:val="Hyperlink"/>
                <w:color w:val="000000"/>
              </w:rPr>
              <w:t xml:space="preserve"> </w:t>
            </w:r>
          </w:p>
        </w:tc>
      </w:tr>
    </w:tbl>
    <w:p w:rsidR="004456DD" w:rsidRPr="001D0AE1" w:rsidRDefault="004456DD" w:rsidP="00CA27AE">
      <w:pPr>
        <w:rPr>
          <w:b/>
        </w:rPr>
      </w:pPr>
    </w:p>
    <w:sectPr w:rsidR="004456DD" w:rsidRPr="001D0AE1" w:rsidSect="002362AD">
      <w:footerReference w:type="even" r:id="rId10"/>
      <w:headerReference w:type="first" r:id="rId11"/>
      <w:footerReference w:type="first" r:id="rId12"/>
      <w:pgSz w:w="11906" w:h="16838" w:code="9"/>
      <w:pgMar w:top="993" w:right="1304" w:bottom="709" w:left="1304" w:header="568"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82D" w:rsidRDefault="0051282D" w:rsidP="004A6D2F">
      <w:r>
        <w:separator/>
      </w:r>
    </w:p>
  </w:endnote>
  <w:endnote w:type="continuationSeparator" w:id="0">
    <w:p w:rsidR="0051282D" w:rsidRDefault="0051282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D" w:rsidRDefault="0051282D" w:rsidP="004A6D2F">
    <w:pPr>
      <w:pStyle w:val="Footer"/>
    </w:pPr>
    <w:r>
      <w:t>Do not use a footer or page numbers.</w:t>
    </w:r>
  </w:p>
  <w:p w:rsidR="0051282D" w:rsidRDefault="0051282D" w:rsidP="004A6D2F">
    <w:pPr>
      <w:pStyle w:val="Footer"/>
    </w:pPr>
  </w:p>
  <w:p w:rsidR="0051282D" w:rsidRDefault="0051282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D" w:rsidRDefault="0051282D"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82D" w:rsidRDefault="0051282D" w:rsidP="004A6D2F">
      <w:r>
        <w:separator/>
      </w:r>
    </w:p>
  </w:footnote>
  <w:footnote w:type="continuationSeparator" w:id="0">
    <w:p w:rsidR="0051282D" w:rsidRDefault="0051282D" w:rsidP="004A6D2F">
      <w:r>
        <w:continuationSeparator/>
      </w:r>
    </w:p>
  </w:footnote>
  <w:footnote w:id="1">
    <w:p w:rsidR="0051282D" w:rsidRDefault="0051282D">
      <w:pPr>
        <w:pStyle w:val="FootnoteText"/>
      </w:pPr>
      <w:r>
        <w:rPr>
          <w:rStyle w:val="FootnoteReference"/>
        </w:rPr>
        <w:footnoteRef/>
      </w:r>
      <w:r>
        <w:t xml:space="preserve"> </w:t>
      </w:r>
      <w:proofErr w:type="spellStart"/>
      <w:r>
        <w:t>Dallmann</w:t>
      </w:r>
      <w:proofErr w:type="spellEnd"/>
      <w:r>
        <w:t xml:space="preserve"> et al (2018). Available from: </w:t>
      </w:r>
      <w:hyperlink r:id="rId1" w:history="1">
        <w:r w:rsidRPr="00DD0683">
          <w:rPr>
            <w:rStyle w:val="Hyperlink"/>
            <w:sz w:val="20"/>
          </w:rPr>
          <w:t>https://www.trueinitiative.org/media/597524/true-london-rs-report-fv-20181214.pdf</w:t>
        </w:r>
      </w:hyperlink>
    </w:p>
    <w:p w:rsidR="0051282D" w:rsidRPr="001B7343" w:rsidRDefault="0051282D">
      <w:pPr>
        <w:pStyle w:val="FootnoteText"/>
        <w:rPr>
          <w:u w:val="single"/>
        </w:rPr>
      </w:pPr>
      <w:r w:rsidRPr="001B7343">
        <w:rPr>
          <w:rStyle w:val="FootnoteReference"/>
          <w:u w:val="single"/>
        </w:rPr>
        <w:t>2</w:t>
      </w:r>
      <w:r w:rsidRPr="001B7343">
        <w:rPr>
          <w:u w:val="single"/>
        </w:rPr>
        <w:t xml:space="preserve"> Euro Standards are increasingly stringent exhaust pollution limits for new car models, introduced by the European Union in the early 1990s, starting with Euro 1. The current Euro Standard is Euro 6.</w:t>
      </w:r>
    </w:p>
  </w:footnote>
  <w:footnote w:id="2">
    <w:p w:rsidR="0051282D" w:rsidRDefault="0051282D">
      <w:pPr>
        <w:pStyle w:val="FootnoteText"/>
      </w:pPr>
      <w:r>
        <w:rPr>
          <w:rStyle w:val="FootnoteReference"/>
        </w:rPr>
        <w:footnoteRef/>
      </w:r>
      <w:r>
        <w:t xml:space="preserve">See </w:t>
      </w:r>
      <w:hyperlink r:id="rId2" w:history="1">
        <w:r w:rsidRPr="008F18EE">
          <w:rPr>
            <w:rStyle w:val="Hyperlink"/>
            <w:sz w:val="20"/>
          </w:rPr>
          <w:t>https://www.gov.uk/plug-in-car-van-grants</w:t>
        </w:r>
      </w:hyperlink>
      <w:r>
        <w:t xml:space="preserve"> - eligible taxis. Government ULEV definitions are expected to adapt to a developing market. Updated definitions might be considered for NEW applications post 2025.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D" w:rsidRDefault="0051282D" w:rsidP="00D5547E">
    <w:pPr>
      <w:pStyle w:val="Header"/>
      <w:jc w:val="right"/>
    </w:pPr>
    <w:r>
      <w:rPr>
        <w:noProof/>
      </w:rPr>
      <w:drawing>
        <wp:inline distT="0" distB="0" distL="0" distR="0" wp14:anchorId="67F91489" wp14:editId="5995AB14">
          <wp:extent cx="843280" cy="1117600"/>
          <wp:effectExtent l="0" t="0" r="0" b="6350"/>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A83CCB"/>
    <w:multiLevelType w:val="hybridMultilevel"/>
    <w:tmpl w:val="DAF8EB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9A16041"/>
    <w:multiLevelType w:val="hybridMultilevel"/>
    <w:tmpl w:val="DBEEE162"/>
    <w:lvl w:ilvl="0" w:tplc="08090015">
      <w:start w:val="1"/>
      <w:numFmt w:val="upperLetter"/>
      <w:lvlText w:val="%1."/>
      <w:lvlJc w:val="left"/>
      <w:pPr>
        <w:ind w:left="1216" w:hanging="360"/>
      </w:pPr>
    </w:lvl>
    <w:lvl w:ilvl="1" w:tplc="08090019" w:tentative="1">
      <w:start w:val="1"/>
      <w:numFmt w:val="lowerLetter"/>
      <w:lvlText w:val="%2."/>
      <w:lvlJc w:val="left"/>
      <w:pPr>
        <w:ind w:left="1936" w:hanging="360"/>
      </w:pPr>
    </w:lvl>
    <w:lvl w:ilvl="2" w:tplc="0809001B" w:tentative="1">
      <w:start w:val="1"/>
      <w:numFmt w:val="lowerRoman"/>
      <w:lvlText w:val="%3."/>
      <w:lvlJc w:val="right"/>
      <w:pPr>
        <w:ind w:left="2656" w:hanging="180"/>
      </w:pPr>
    </w:lvl>
    <w:lvl w:ilvl="3" w:tplc="0809000F" w:tentative="1">
      <w:start w:val="1"/>
      <w:numFmt w:val="decimal"/>
      <w:lvlText w:val="%4."/>
      <w:lvlJc w:val="left"/>
      <w:pPr>
        <w:ind w:left="3376" w:hanging="360"/>
      </w:pPr>
    </w:lvl>
    <w:lvl w:ilvl="4" w:tplc="08090019" w:tentative="1">
      <w:start w:val="1"/>
      <w:numFmt w:val="lowerLetter"/>
      <w:lvlText w:val="%5."/>
      <w:lvlJc w:val="left"/>
      <w:pPr>
        <w:ind w:left="4096" w:hanging="360"/>
      </w:pPr>
    </w:lvl>
    <w:lvl w:ilvl="5" w:tplc="0809001B" w:tentative="1">
      <w:start w:val="1"/>
      <w:numFmt w:val="lowerRoman"/>
      <w:lvlText w:val="%6."/>
      <w:lvlJc w:val="right"/>
      <w:pPr>
        <w:ind w:left="4816" w:hanging="180"/>
      </w:pPr>
    </w:lvl>
    <w:lvl w:ilvl="6" w:tplc="0809000F" w:tentative="1">
      <w:start w:val="1"/>
      <w:numFmt w:val="decimal"/>
      <w:lvlText w:val="%7."/>
      <w:lvlJc w:val="left"/>
      <w:pPr>
        <w:ind w:left="5536" w:hanging="360"/>
      </w:pPr>
    </w:lvl>
    <w:lvl w:ilvl="7" w:tplc="08090019" w:tentative="1">
      <w:start w:val="1"/>
      <w:numFmt w:val="lowerLetter"/>
      <w:lvlText w:val="%8."/>
      <w:lvlJc w:val="left"/>
      <w:pPr>
        <w:ind w:left="6256" w:hanging="360"/>
      </w:pPr>
    </w:lvl>
    <w:lvl w:ilvl="8" w:tplc="0809001B" w:tentative="1">
      <w:start w:val="1"/>
      <w:numFmt w:val="lowerRoman"/>
      <w:lvlText w:val="%9."/>
      <w:lvlJc w:val="right"/>
      <w:pPr>
        <w:ind w:left="6976" w:hanging="180"/>
      </w:pPr>
    </w:lvl>
  </w:abstractNum>
  <w:abstractNum w:abstractNumId="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98365C6"/>
    <w:multiLevelType w:val="multilevel"/>
    <w:tmpl w:val="E67CE66C"/>
    <w:numStyleLink w:val="StyleNumberedLeft0cmHanging075cm"/>
  </w:abstractNum>
  <w:num w:numId="1">
    <w:abstractNumId w:val="0"/>
  </w:num>
  <w:num w:numId="2">
    <w:abstractNumId w:val="6"/>
    <w:lvlOverride w:ilvl="0">
      <w:lvl w:ilvl="0">
        <w:start w:val="1"/>
        <w:numFmt w:val="decimal"/>
        <w:pStyle w:val="ListParagraph"/>
        <w:lvlText w:val="%1."/>
        <w:lvlJc w:val="left"/>
        <w:pPr>
          <w:ind w:left="502" w:hanging="360"/>
        </w:pPr>
        <w:rPr>
          <w:rFonts w:ascii="Arial" w:hAnsi="Arial"/>
          <w:color w:val="000000"/>
          <w:sz w:val="24"/>
        </w:rPr>
      </w:lvl>
    </w:lvlOverride>
  </w:num>
  <w:num w:numId="3">
    <w:abstractNumId w:val="3"/>
  </w:num>
  <w:num w:numId="4">
    <w:abstractNumId w:val="1"/>
  </w:num>
  <w:num w:numId="5">
    <w:abstractNumId w:val="5"/>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58"/>
    <w:rsid w:val="00001ADC"/>
    <w:rsid w:val="00004F4B"/>
    <w:rsid w:val="000117D4"/>
    <w:rsid w:val="00015AFD"/>
    <w:rsid w:val="00022862"/>
    <w:rsid w:val="000314D7"/>
    <w:rsid w:val="0003611C"/>
    <w:rsid w:val="00045F8B"/>
    <w:rsid w:val="00046D2B"/>
    <w:rsid w:val="00056263"/>
    <w:rsid w:val="00064D8A"/>
    <w:rsid w:val="00064F82"/>
    <w:rsid w:val="00066510"/>
    <w:rsid w:val="00077523"/>
    <w:rsid w:val="000A3CD0"/>
    <w:rsid w:val="000B6116"/>
    <w:rsid w:val="000C089F"/>
    <w:rsid w:val="000C11F7"/>
    <w:rsid w:val="000C3928"/>
    <w:rsid w:val="000C5E8E"/>
    <w:rsid w:val="000E323E"/>
    <w:rsid w:val="000F4751"/>
    <w:rsid w:val="0010524C"/>
    <w:rsid w:val="00111FB1"/>
    <w:rsid w:val="00113418"/>
    <w:rsid w:val="001356F1"/>
    <w:rsid w:val="00136994"/>
    <w:rsid w:val="0014128E"/>
    <w:rsid w:val="00141C14"/>
    <w:rsid w:val="00151888"/>
    <w:rsid w:val="00166201"/>
    <w:rsid w:val="00170A2D"/>
    <w:rsid w:val="00172C97"/>
    <w:rsid w:val="00176A0A"/>
    <w:rsid w:val="001808BC"/>
    <w:rsid w:val="00182B81"/>
    <w:rsid w:val="0018619D"/>
    <w:rsid w:val="00186DD3"/>
    <w:rsid w:val="0019017E"/>
    <w:rsid w:val="001A011E"/>
    <w:rsid w:val="001A066A"/>
    <w:rsid w:val="001A13E6"/>
    <w:rsid w:val="001A5731"/>
    <w:rsid w:val="001A65B6"/>
    <w:rsid w:val="001B42C3"/>
    <w:rsid w:val="001B7343"/>
    <w:rsid w:val="001C3617"/>
    <w:rsid w:val="001C5D5E"/>
    <w:rsid w:val="001D0AE1"/>
    <w:rsid w:val="001D6504"/>
    <w:rsid w:val="001D678D"/>
    <w:rsid w:val="001E03F8"/>
    <w:rsid w:val="001E05FB"/>
    <w:rsid w:val="001E1678"/>
    <w:rsid w:val="001E3376"/>
    <w:rsid w:val="002069B3"/>
    <w:rsid w:val="00217D50"/>
    <w:rsid w:val="00226073"/>
    <w:rsid w:val="00226B5F"/>
    <w:rsid w:val="002329CF"/>
    <w:rsid w:val="00232F5B"/>
    <w:rsid w:val="002334A2"/>
    <w:rsid w:val="002362AD"/>
    <w:rsid w:val="00247C29"/>
    <w:rsid w:val="00260467"/>
    <w:rsid w:val="00263EA3"/>
    <w:rsid w:val="00280022"/>
    <w:rsid w:val="00283C12"/>
    <w:rsid w:val="00284F85"/>
    <w:rsid w:val="0028687A"/>
    <w:rsid w:val="00286C52"/>
    <w:rsid w:val="00290915"/>
    <w:rsid w:val="002A22E2"/>
    <w:rsid w:val="002A572F"/>
    <w:rsid w:val="002C64F7"/>
    <w:rsid w:val="002C7B6B"/>
    <w:rsid w:val="002F41F2"/>
    <w:rsid w:val="002F72BC"/>
    <w:rsid w:val="00301BF3"/>
    <w:rsid w:val="0030208D"/>
    <w:rsid w:val="003131DD"/>
    <w:rsid w:val="00317046"/>
    <w:rsid w:val="00323418"/>
    <w:rsid w:val="003357BF"/>
    <w:rsid w:val="00364FAD"/>
    <w:rsid w:val="00365504"/>
    <w:rsid w:val="0036738F"/>
    <w:rsid w:val="0036759C"/>
    <w:rsid w:val="00367AE5"/>
    <w:rsid w:val="00367D71"/>
    <w:rsid w:val="0038150A"/>
    <w:rsid w:val="003913EF"/>
    <w:rsid w:val="0039784F"/>
    <w:rsid w:val="003A3D3C"/>
    <w:rsid w:val="003B28DF"/>
    <w:rsid w:val="003B6E75"/>
    <w:rsid w:val="003B7DA1"/>
    <w:rsid w:val="003D0379"/>
    <w:rsid w:val="003D1065"/>
    <w:rsid w:val="003D2574"/>
    <w:rsid w:val="003D4C59"/>
    <w:rsid w:val="003D4DF9"/>
    <w:rsid w:val="003D642F"/>
    <w:rsid w:val="003D73B8"/>
    <w:rsid w:val="003F4267"/>
    <w:rsid w:val="00404032"/>
    <w:rsid w:val="00405020"/>
    <w:rsid w:val="00405427"/>
    <w:rsid w:val="0040736F"/>
    <w:rsid w:val="00412C1F"/>
    <w:rsid w:val="00421CB2"/>
    <w:rsid w:val="004268B9"/>
    <w:rsid w:val="00433B96"/>
    <w:rsid w:val="00436575"/>
    <w:rsid w:val="00436C94"/>
    <w:rsid w:val="004440F1"/>
    <w:rsid w:val="004456DD"/>
    <w:rsid w:val="00446CDF"/>
    <w:rsid w:val="004521B7"/>
    <w:rsid w:val="00462AB5"/>
    <w:rsid w:val="00465EAF"/>
    <w:rsid w:val="00471319"/>
    <w:rsid w:val="004738C5"/>
    <w:rsid w:val="00490E71"/>
    <w:rsid w:val="00491046"/>
    <w:rsid w:val="004A2AC7"/>
    <w:rsid w:val="004A6D2F"/>
    <w:rsid w:val="004C1DAA"/>
    <w:rsid w:val="004C233F"/>
    <w:rsid w:val="004C2887"/>
    <w:rsid w:val="004C3394"/>
    <w:rsid w:val="004D2626"/>
    <w:rsid w:val="004D481B"/>
    <w:rsid w:val="004D6E26"/>
    <w:rsid w:val="004D77D3"/>
    <w:rsid w:val="004E2959"/>
    <w:rsid w:val="004F20EF"/>
    <w:rsid w:val="0050321C"/>
    <w:rsid w:val="0051282D"/>
    <w:rsid w:val="0054712D"/>
    <w:rsid w:val="00547EF6"/>
    <w:rsid w:val="005570B5"/>
    <w:rsid w:val="0056368B"/>
    <w:rsid w:val="00567E18"/>
    <w:rsid w:val="00575572"/>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069F9"/>
    <w:rsid w:val="00613182"/>
    <w:rsid w:val="00614693"/>
    <w:rsid w:val="00623C2F"/>
    <w:rsid w:val="00633578"/>
    <w:rsid w:val="006351D7"/>
    <w:rsid w:val="00637068"/>
    <w:rsid w:val="00650811"/>
    <w:rsid w:val="00661D3E"/>
    <w:rsid w:val="0067667D"/>
    <w:rsid w:val="00680581"/>
    <w:rsid w:val="006901B5"/>
    <w:rsid w:val="00692627"/>
    <w:rsid w:val="00694AE9"/>
    <w:rsid w:val="006969E7"/>
    <w:rsid w:val="006A3643"/>
    <w:rsid w:val="006C2A29"/>
    <w:rsid w:val="006C64CF"/>
    <w:rsid w:val="006D17B1"/>
    <w:rsid w:val="006D4752"/>
    <w:rsid w:val="006D6967"/>
    <w:rsid w:val="006D708A"/>
    <w:rsid w:val="006D7DAB"/>
    <w:rsid w:val="006E14C1"/>
    <w:rsid w:val="006F0292"/>
    <w:rsid w:val="006F27FA"/>
    <w:rsid w:val="006F416B"/>
    <w:rsid w:val="006F519B"/>
    <w:rsid w:val="00703C65"/>
    <w:rsid w:val="00713675"/>
    <w:rsid w:val="00715823"/>
    <w:rsid w:val="0073186C"/>
    <w:rsid w:val="00737B93"/>
    <w:rsid w:val="00745BF0"/>
    <w:rsid w:val="0076084C"/>
    <w:rsid w:val="007615FE"/>
    <w:rsid w:val="0076655C"/>
    <w:rsid w:val="00772A69"/>
    <w:rsid w:val="007742DC"/>
    <w:rsid w:val="007816E4"/>
    <w:rsid w:val="0078351E"/>
    <w:rsid w:val="00783BA3"/>
    <w:rsid w:val="00784696"/>
    <w:rsid w:val="00791437"/>
    <w:rsid w:val="007A6122"/>
    <w:rsid w:val="007B0C2C"/>
    <w:rsid w:val="007B278E"/>
    <w:rsid w:val="007C5C23"/>
    <w:rsid w:val="007E2A26"/>
    <w:rsid w:val="007F06B8"/>
    <w:rsid w:val="007F2348"/>
    <w:rsid w:val="007F5AE0"/>
    <w:rsid w:val="00802852"/>
    <w:rsid w:val="00803F07"/>
    <w:rsid w:val="0080749A"/>
    <w:rsid w:val="00820F04"/>
    <w:rsid w:val="00821FB8"/>
    <w:rsid w:val="00822ACD"/>
    <w:rsid w:val="00827192"/>
    <w:rsid w:val="0084053A"/>
    <w:rsid w:val="00855C66"/>
    <w:rsid w:val="00871EE4"/>
    <w:rsid w:val="00875E9B"/>
    <w:rsid w:val="00884236"/>
    <w:rsid w:val="00895F59"/>
    <w:rsid w:val="008A43AA"/>
    <w:rsid w:val="008B293F"/>
    <w:rsid w:val="008B4F5A"/>
    <w:rsid w:val="008B7371"/>
    <w:rsid w:val="008D3DDB"/>
    <w:rsid w:val="008F0DC7"/>
    <w:rsid w:val="008F573F"/>
    <w:rsid w:val="0090083C"/>
    <w:rsid w:val="009034EC"/>
    <w:rsid w:val="00921599"/>
    <w:rsid w:val="0093067A"/>
    <w:rsid w:val="00936D67"/>
    <w:rsid w:val="00941C60"/>
    <w:rsid w:val="00941FD1"/>
    <w:rsid w:val="00951BD0"/>
    <w:rsid w:val="00966D42"/>
    <w:rsid w:val="00971689"/>
    <w:rsid w:val="00973E90"/>
    <w:rsid w:val="00975B07"/>
    <w:rsid w:val="00975CFC"/>
    <w:rsid w:val="00976442"/>
    <w:rsid w:val="00980B4A"/>
    <w:rsid w:val="009B3526"/>
    <w:rsid w:val="009B590D"/>
    <w:rsid w:val="009C0636"/>
    <w:rsid w:val="009C4975"/>
    <w:rsid w:val="009E3D0A"/>
    <w:rsid w:val="009E51FC"/>
    <w:rsid w:val="009F1D28"/>
    <w:rsid w:val="009F3458"/>
    <w:rsid w:val="009F7618"/>
    <w:rsid w:val="00A04D23"/>
    <w:rsid w:val="00A06766"/>
    <w:rsid w:val="00A13765"/>
    <w:rsid w:val="00A21B12"/>
    <w:rsid w:val="00A23F80"/>
    <w:rsid w:val="00A306D5"/>
    <w:rsid w:val="00A31D4E"/>
    <w:rsid w:val="00A40CC6"/>
    <w:rsid w:val="00A4626B"/>
    <w:rsid w:val="00A46E98"/>
    <w:rsid w:val="00A6352B"/>
    <w:rsid w:val="00A701B5"/>
    <w:rsid w:val="00A714BB"/>
    <w:rsid w:val="00A77147"/>
    <w:rsid w:val="00A9233E"/>
    <w:rsid w:val="00A92D8F"/>
    <w:rsid w:val="00AB2988"/>
    <w:rsid w:val="00AB35A8"/>
    <w:rsid w:val="00AB7999"/>
    <w:rsid w:val="00AC3D8D"/>
    <w:rsid w:val="00AD3292"/>
    <w:rsid w:val="00AE7AF0"/>
    <w:rsid w:val="00B40E48"/>
    <w:rsid w:val="00B500CA"/>
    <w:rsid w:val="00B8232B"/>
    <w:rsid w:val="00B86314"/>
    <w:rsid w:val="00BA1C2E"/>
    <w:rsid w:val="00BB6465"/>
    <w:rsid w:val="00BC200B"/>
    <w:rsid w:val="00BC4756"/>
    <w:rsid w:val="00BC69A4"/>
    <w:rsid w:val="00BC75F4"/>
    <w:rsid w:val="00BD6F79"/>
    <w:rsid w:val="00BE0680"/>
    <w:rsid w:val="00BE305F"/>
    <w:rsid w:val="00BE7BA3"/>
    <w:rsid w:val="00BF5682"/>
    <w:rsid w:val="00BF7B09"/>
    <w:rsid w:val="00C027AA"/>
    <w:rsid w:val="00C05D9C"/>
    <w:rsid w:val="00C20A95"/>
    <w:rsid w:val="00C224A0"/>
    <w:rsid w:val="00C2692F"/>
    <w:rsid w:val="00C3207C"/>
    <w:rsid w:val="00C400E1"/>
    <w:rsid w:val="00C41187"/>
    <w:rsid w:val="00C44BAE"/>
    <w:rsid w:val="00C63C31"/>
    <w:rsid w:val="00C700FC"/>
    <w:rsid w:val="00C757A0"/>
    <w:rsid w:val="00C760DE"/>
    <w:rsid w:val="00C773EC"/>
    <w:rsid w:val="00C82630"/>
    <w:rsid w:val="00C85B4E"/>
    <w:rsid w:val="00C907F7"/>
    <w:rsid w:val="00CA2103"/>
    <w:rsid w:val="00CA27AE"/>
    <w:rsid w:val="00CB6B99"/>
    <w:rsid w:val="00CC098B"/>
    <w:rsid w:val="00CC426B"/>
    <w:rsid w:val="00CE08EA"/>
    <w:rsid w:val="00CE4C87"/>
    <w:rsid w:val="00CE544A"/>
    <w:rsid w:val="00D11E1C"/>
    <w:rsid w:val="00D160B0"/>
    <w:rsid w:val="00D17F94"/>
    <w:rsid w:val="00D204E3"/>
    <w:rsid w:val="00D223FC"/>
    <w:rsid w:val="00D26D1E"/>
    <w:rsid w:val="00D474CF"/>
    <w:rsid w:val="00D5547E"/>
    <w:rsid w:val="00D57F03"/>
    <w:rsid w:val="00D869A1"/>
    <w:rsid w:val="00D92A47"/>
    <w:rsid w:val="00D96677"/>
    <w:rsid w:val="00DA413F"/>
    <w:rsid w:val="00DA4584"/>
    <w:rsid w:val="00DA614B"/>
    <w:rsid w:val="00DB2956"/>
    <w:rsid w:val="00DB7B5D"/>
    <w:rsid w:val="00DC1962"/>
    <w:rsid w:val="00DC3060"/>
    <w:rsid w:val="00DD065E"/>
    <w:rsid w:val="00DD3075"/>
    <w:rsid w:val="00DD3A11"/>
    <w:rsid w:val="00DE0FB2"/>
    <w:rsid w:val="00DF0783"/>
    <w:rsid w:val="00DF093E"/>
    <w:rsid w:val="00E01F42"/>
    <w:rsid w:val="00E025A3"/>
    <w:rsid w:val="00E063E8"/>
    <w:rsid w:val="00E202F1"/>
    <w:rsid w:val="00E206D6"/>
    <w:rsid w:val="00E20AA7"/>
    <w:rsid w:val="00E261F7"/>
    <w:rsid w:val="00E3366E"/>
    <w:rsid w:val="00E40F95"/>
    <w:rsid w:val="00E52086"/>
    <w:rsid w:val="00E543A6"/>
    <w:rsid w:val="00E60479"/>
    <w:rsid w:val="00E61D73"/>
    <w:rsid w:val="00E674FD"/>
    <w:rsid w:val="00E71957"/>
    <w:rsid w:val="00E73684"/>
    <w:rsid w:val="00E818D6"/>
    <w:rsid w:val="00E87F7A"/>
    <w:rsid w:val="00E96BD7"/>
    <w:rsid w:val="00EA0DB1"/>
    <w:rsid w:val="00EA0EE9"/>
    <w:rsid w:val="00EB1A6C"/>
    <w:rsid w:val="00EC5722"/>
    <w:rsid w:val="00ED52CA"/>
    <w:rsid w:val="00ED5860"/>
    <w:rsid w:val="00EE35C9"/>
    <w:rsid w:val="00EE6B2E"/>
    <w:rsid w:val="00F05ECA"/>
    <w:rsid w:val="00F1664B"/>
    <w:rsid w:val="00F21D33"/>
    <w:rsid w:val="00F27ECB"/>
    <w:rsid w:val="00F3566E"/>
    <w:rsid w:val="00F375FB"/>
    <w:rsid w:val="00F41AC1"/>
    <w:rsid w:val="00F4367A"/>
    <w:rsid w:val="00F445B1"/>
    <w:rsid w:val="00F45CD4"/>
    <w:rsid w:val="00F66DCA"/>
    <w:rsid w:val="00F74F53"/>
    <w:rsid w:val="00F7606D"/>
    <w:rsid w:val="00F81670"/>
    <w:rsid w:val="00F82024"/>
    <w:rsid w:val="00F95BC9"/>
    <w:rsid w:val="00FA624C"/>
    <w:rsid w:val="00FC6A3A"/>
    <w:rsid w:val="00FD05D4"/>
    <w:rsid w:val="00FD0FAC"/>
    <w:rsid w:val="00FD1DFA"/>
    <w:rsid w:val="00FD4966"/>
    <w:rsid w:val="00FD775F"/>
    <w:rsid w:val="00FE5758"/>
    <w:rsid w:val="00FE57DC"/>
    <w:rsid w:val="00FF4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1D65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78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Heading3Char">
    <w:name w:val="Heading 3 Char"/>
    <w:basedOn w:val="DefaultParagraphFont"/>
    <w:link w:val="Heading3"/>
    <w:uiPriority w:val="9"/>
    <w:rsid w:val="001D6504"/>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rsid w:val="00CE08EA"/>
    <w:pPr>
      <w:spacing w:after="0"/>
    </w:pPr>
    <w:rPr>
      <w:sz w:val="20"/>
      <w:szCs w:val="20"/>
    </w:rPr>
  </w:style>
  <w:style w:type="character" w:customStyle="1" w:styleId="FootnoteTextChar">
    <w:name w:val="Footnote Text Char"/>
    <w:basedOn w:val="DefaultParagraphFont"/>
    <w:link w:val="FootnoteText"/>
    <w:rsid w:val="00CE08EA"/>
    <w:rPr>
      <w:color w:val="000000"/>
    </w:rPr>
  </w:style>
  <w:style w:type="character" w:styleId="FootnoteReference">
    <w:name w:val="footnote reference"/>
    <w:basedOn w:val="DefaultParagraphFont"/>
    <w:rsid w:val="00CE08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1D65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78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Heading3Char">
    <w:name w:val="Heading 3 Char"/>
    <w:basedOn w:val="DefaultParagraphFont"/>
    <w:link w:val="Heading3"/>
    <w:uiPriority w:val="9"/>
    <w:rsid w:val="001D6504"/>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rsid w:val="00CE08EA"/>
    <w:pPr>
      <w:spacing w:after="0"/>
    </w:pPr>
    <w:rPr>
      <w:sz w:val="20"/>
      <w:szCs w:val="20"/>
    </w:rPr>
  </w:style>
  <w:style w:type="character" w:customStyle="1" w:styleId="FootnoteTextChar">
    <w:name w:val="Footnote Text Char"/>
    <w:basedOn w:val="DefaultParagraphFont"/>
    <w:link w:val="FootnoteText"/>
    <w:rsid w:val="00CE08EA"/>
    <w:rPr>
      <w:color w:val="000000"/>
    </w:rPr>
  </w:style>
  <w:style w:type="character" w:styleId="FootnoteReference">
    <w:name w:val="footnote reference"/>
    <w:basedOn w:val="DefaultParagraphFont"/>
    <w:rsid w:val="00CE08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7115">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32624560">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dumitru@oxford.gov.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plug-in-car-van-grants" TargetMode="External"/><Relationship Id="rId1" Type="http://schemas.openxmlformats.org/officeDocument/2006/relationships/hyperlink" Target="https://www.trueinitiative.org/media/597524/true-london-rs-report-fv-201812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ity%20Executive%20Board\CEB%20General%20Admin\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43782-FE42-485B-83F2-E841C9FF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10</TotalTime>
  <Pages>5</Pages>
  <Words>1778</Words>
  <Characters>9245</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JMitchell</cp:lastModifiedBy>
  <cp:revision>6</cp:revision>
  <cp:lastPrinted>2018-12-12T10:42:00Z</cp:lastPrinted>
  <dcterms:created xsi:type="dcterms:W3CDTF">2019-01-11T12:01:00Z</dcterms:created>
  <dcterms:modified xsi:type="dcterms:W3CDTF">2019-01-15T13:40:00Z</dcterms:modified>
</cp:coreProperties>
</file>